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E587" w14:textId="77777777" w:rsidR="0081639E" w:rsidRPr="00905195" w:rsidRDefault="0081639E" w:rsidP="00905195">
      <w:pPr>
        <w:pStyle w:val="Ttulo2"/>
        <w:spacing w:after="120"/>
        <w:jc w:val="center"/>
        <w:rPr>
          <w:rFonts w:ascii="Garamond" w:hAnsi="Garamond"/>
          <w:b/>
          <w:color w:val="auto"/>
          <w:sz w:val="28"/>
          <w:szCs w:val="28"/>
          <w:lang w:val="en-US"/>
        </w:rPr>
      </w:pPr>
      <w:r w:rsidRPr="00905195">
        <w:rPr>
          <w:rFonts w:ascii="Garamond" w:hAnsi="Garamond"/>
          <w:b/>
          <w:color w:val="auto"/>
          <w:sz w:val="28"/>
          <w:szCs w:val="28"/>
          <w:lang w:val="en-US"/>
        </w:rPr>
        <w:t>The impact of training on wages and productivity:</w:t>
      </w:r>
      <w:r w:rsidR="006F27F3" w:rsidRPr="00905195">
        <w:rPr>
          <w:rFonts w:ascii="Garamond" w:hAnsi="Garamond"/>
          <w:b/>
          <w:color w:val="auto"/>
          <w:sz w:val="28"/>
          <w:szCs w:val="28"/>
          <w:lang w:val="en-US"/>
        </w:rPr>
        <w:t xml:space="preserve"> evidence from Argentinean SMEs</w:t>
      </w:r>
      <w:r w:rsidR="008123CD" w:rsidRPr="00905195">
        <w:rPr>
          <w:rFonts w:ascii="Garamond" w:hAnsi="Garamond"/>
          <w:b/>
          <w:color w:val="auto"/>
          <w:sz w:val="28"/>
          <w:szCs w:val="28"/>
          <w:lang w:val="en-US"/>
        </w:rPr>
        <w:t>.</w:t>
      </w:r>
    </w:p>
    <w:p w14:paraId="58D4673E" w14:textId="3CA21981" w:rsidR="00905195" w:rsidRPr="00003546" w:rsidRDefault="00905195" w:rsidP="00905195">
      <w:pPr>
        <w:jc w:val="center"/>
        <w:rPr>
          <w:b/>
          <w:szCs w:val="24"/>
        </w:rPr>
      </w:pPr>
      <w:r w:rsidRPr="00003546">
        <w:rPr>
          <w:b/>
          <w:szCs w:val="24"/>
        </w:rPr>
        <w:t>F. Barletta</w:t>
      </w:r>
      <w:r w:rsidRPr="00003546">
        <w:rPr>
          <w:szCs w:val="24"/>
        </w:rPr>
        <w:t>*</w:t>
      </w:r>
      <w:r w:rsidRPr="00003546">
        <w:rPr>
          <w:b/>
          <w:szCs w:val="24"/>
        </w:rPr>
        <w:t>, V. Castillo</w:t>
      </w:r>
      <w:r w:rsidRPr="00003546">
        <w:rPr>
          <w:szCs w:val="24"/>
        </w:rPr>
        <w:t>**</w:t>
      </w:r>
      <w:r w:rsidRPr="00003546">
        <w:rPr>
          <w:b/>
          <w:szCs w:val="24"/>
        </w:rPr>
        <w:t>, M. Pereira</w:t>
      </w:r>
      <w:r w:rsidRPr="00003546">
        <w:rPr>
          <w:szCs w:val="24"/>
        </w:rPr>
        <w:t>*</w:t>
      </w:r>
      <w:r w:rsidRPr="00003546">
        <w:rPr>
          <w:b/>
          <w:szCs w:val="24"/>
        </w:rPr>
        <w:t>, V. Robert</w:t>
      </w:r>
      <w:r w:rsidRPr="00003546">
        <w:rPr>
          <w:szCs w:val="24"/>
        </w:rPr>
        <w:t>*</w:t>
      </w:r>
      <w:r w:rsidRPr="00003546">
        <w:rPr>
          <w:b/>
          <w:szCs w:val="24"/>
        </w:rPr>
        <w:t>, D. Suarez</w:t>
      </w:r>
      <w:r w:rsidRPr="00003546">
        <w:rPr>
          <w:szCs w:val="24"/>
        </w:rPr>
        <w:t>*</w:t>
      </w:r>
      <w:r w:rsidRPr="00003546">
        <w:rPr>
          <w:b/>
          <w:szCs w:val="24"/>
        </w:rPr>
        <w:t xml:space="preserve"> and L. </w:t>
      </w:r>
      <w:proofErr w:type="spellStart"/>
      <w:r w:rsidRPr="00003546">
        <w:rPr>
          <w:b/>
          <w:szCs w:val="24"/>
        </w:rPr>
        <w:t>Tumini</w:t>
      </w:r>
      <w:proofErr w:type="spellEnd"/>
      <w:r w:rsidRPr="00003546">
        <w:rPr>
          <w:szCs w:val="24"/>
        </w:rPr>
        <w:t>**</w:t>
      </w:r>
    </w:p>
    <w:p w14:paraId="6789974E" w14:textId="31B93850" w:rsidR="00905195" w:rsidRPr="00D367BC" w:rsidRDefault="00905195" w:rsidP="00905195">
      <w:pPr>
        <w:jc w:val="center"/>
        <w:rPr>
          <w:sz w:val="22"/>
          <w:szCs w:val="22"/>
        </w:rPr>
      </w:pPr>
      <w:r>
        <w:rPr>
          <w:sz w:val="22"/>
          <w:szCs w:val="22"/>
        </w:rPr>
        <w:t>*</w:t>
      </w:r>
      <w:r w:rsidRPr="00D367BC">
        <w:rPr>
          <w:sz w:val="22"/>
          <w:szCs w:val="22"/>
        </w:rPr>
        <w:t>Universidad Nacional de General Sarmiento</w:t>
      </w:r>
      <w:r>
        <w:rPr>
          <w:sz w:val="22"/>
          <w:szCs w:val="22"/>
        </w:rPr>
        <w:t>,</w:t>
      </w:r>
      <w:r w:rsidRPr="00D367BC">
        <w:rPr>
          <w:sz w:val="22"/>
          <w:szCs w:val="22"/>
        </w:rPr>
        <w:t xml:space="preserve"> Argentina.</w:t>
      </w:r>
    </w:p>
    <w:p w14:paraId="19CC9748" w14:textId="29B235B9" w:rsidR="00905195" w:rsidRPr="00905195" w:rsidRDefault="00905195" w:rsidP="00905195">
      <w:pPr>
        <w:jc w:val="center"/>
      </w:pPr>
      <w:r>
        <w:t>**</w:t>
      </w:r>
      <w:proofErr w:type="spellStart"/>
      <w:r>
        <w:t>Ministry</w:t>
      </w:r>
      <w:proofErr w:type="spellEnd"/>
      <w:r>
        <w:t xml:space="preserve"> of Labor, Argentina.</w:t>
      </w:r>
    </w:p>
    <w:p w14:paraId="29716DEF" w14:textId="77777777" w:rsidR="0081639E" w:rsidRPr="00905195" w:rsidRDefault="0081639E" w:rsidP="0081639E">
      <w:pPr>
        <w:rPr>
          <w:b/>
        </w:rPr>
      </w:pPr>
    </w:p>
    <w:p w14:paraId="7F932BAF" w14:textId="77777777" w:rsidR="0081639E" w:rsidRPr="003E1B03" w:rsidRDefault="003E1B03" w:rsidP="0081639E">
      <w:pPr>
        <w:pStyle w:val="Ttulo2"/>
        <w:rPr>
          <w:rFonts w:ascii="Garamond" w:hAnsi="Garamond"/>
          <w:b/>
          <w:color w:val="auto"/>
          <w:sz w:val="24"/>
          <w:szCs w:val="24"/>
          <w:lang w:val="en-US"/>
        </w:rPr>
      </w:pPr>
      <w:r w:rsidRPr="003E1B03">
        <w:rPr>
          <w:rFonts w:ascii="Garamond" w:hAnsi="Garamond"/>
          <w:b/>
          <w:color w:val="auto"/>
          <w:sz w:val="24"/>
          <w:szCs w:val="24"/>
          <w:lang w:val="en-US"/>
        </w:rPr>
        <w:t>Abstract</w:t>
      </w:r>
    </w:p>
    <w:p w14:paraId="03D22091" w14:textId="77777777" w:rsidR="00905195" w:rsidRDefault="00905195" w:rsidP="003E1B03">
      <w:pPr>
        <w:rPr>
          <w:lang w:val="en-US"/>
        </w:rPr>
      </w:pPr>
    </w:p>
    <w:p w14:paraId="4BFFCBD0" w14:textId="7F4CBAF3" w:rsidR="003E1B03" w:rsidRPr="00003546" w:rsidRDefault="003E1B03" w:rsidP="003E1B03">
      <w:pPr>
        <w:rPr>
          <w:i/>
          <w:lang w:val="en-US"/>
        </w:rPr>
      </w:pPr>
      <w:r w:rsidRPr="00003546">
        <w:rPr>
          <w:i/>
          <w:lang w:val="en-US"/>
        </w:rPr>
        <w:t>During the last decade, Argentina has experienced a strong and sustained growth, together with the increase in the level of employment, productivity and wages. However, the recent deceleration of this growth has opened up a debate about the mechanisms of transmission of those gains into higher wages. The objective of this paper it to contribute to th</w:t>
      </w:r>
      <w:r w:rsidR="00D53BE2" w:rsidRPr="00003546">
        <w:rPr>
          <w:i/>
          <w:lang w:val="en-US"/>
        </w:rPr>
        <w:t>is</w:t>
      </w:r>
      <w:r w:rsidRPr="00003546">
        <w:rPr>
          <w:i/>
          <w:lang w:val="en-US"/>
        </w:rPr>
        <w:t xml:space="preserve"> discussion by analyzing </w:t>
      </w:r>
      <w:r w:rsidR="0075656B" w:rsidRPr="00003546">
        <w:rPr>
          <w:i/>
          <w:lang w:val="en-US"/>
        </w:rPr>
        <w:t xml:space="preserve">to what extent productivity gains </w:t>
      </w:r>
      <w:r w:rsidR="00D53BE2" w:rsidRPr="00003546">
        <w:rPr>
          <w:i/>
          <w:lang w:val="en-US"/>
        </w:rPr>
        <w:t>derived from</w:t>
      </w:r>
      <w:r w:rsidR="0075656B" w:rsidRPr="00003546">
        <w:rPr>
          <w:i/>
          <w:lang w:val="en-US"/>
        </w:rPr>
        <w:t xml:space="preserve"> </w:t>
      </w:r>
      <w:r w:rsidRPr="00003546">
        <w:rPr>
          <w:i/>
          <w:lang w:val="en-US"/>
        </w:rPr>
        <w:t xml:space="preserve">training activities </w:t>
      </w:r>
      <w:r w:rsidR="0075656B" w:rsidRPr="00003546">
        <w:rPr>
          <w:i/>
          <w:lang w:val="en-US"/>
        </w:rPr>
        <w:t xml:space="preserve">lead to </w:t>
      </w:r>
      <w:r w:rsidR="00A77AB6" w:rsidRPr="00003546">
        <w:rPr>
          <w:i/>
          <w:lang w:val="en-US"/>
        </w:rPr>
        <w:t xml:space="preserve">higher </w:t>
      </w:r>
      <w:r w:rsidR="0075656B" w:rsidRPr="00003546">
        <w:rPr>
          <w:i/>
          <w:lang w:val="en-US"/>
        </w:rPr>
        <w:t>wage</w:t>
      </w:r>
      <w:r w:rsidR="00A77AB6" w:rsidRPr="00003546">
        <w:rPr>
          <w:i/>
          <w:lang w:val="en-US"/>
        </w:rPr>
        <w:t>s and productivity</w:t>
      </w:r>
      <w:r w:rsidR="0075656B" w:rsidRPr="00003546">
        <w:rPr>
          <w:i/>
          <w:lang w:val="en-US"/>
        </w:rPr>
        <w:t xml:space="preserve"> and how </w:t>
      </w:r>
      <w:r w:rsidR="00901991" w:rsidRPr="00003546">
        <w:rPr>
          <w:i/>
          <w:lang w:val="en-US"/>
        </w:rPr>
        <w:t xml:space="preserve">productive </w:t>
      </w:r>
      <w:r w:rsidR="0075656B" w:rsidRPr="00003546">
        <w:rPr>
          <w:i/>
          <w:lang w:val="en-US"/>
        </w:rPr>
        <w:t>structure and labor institutions impact on th</w:t>
      </w:r>
      <w:r w:rsidR="00A77AB6" w:rsidRPr="00003546">
        <w:rPr>
          <w:i/>
          <w:lang w:val="en-US"/>
        </w:rPr>
        <w:t>e relation between wages and productivity</w:t>
      </w:r>
      <w:r w:rsidR="0075656B" w:rsidRPr="00003546">
        <w:rPr>
          <w:i/>
          <w:lang w:val="en-US"/>
        </w:rPr>
        <w:t xml:space="preserve">. The empirical analysis is based on information for </w:t>
      </w:r>
      <w:r w:rsidRPr="00003546">
        <w:rPr>
          <w:i/>
          <w:lang w:val="en-US"/>
        </w:rPr>
        <w:t xml:space="preserve">1400 Argentinean SMEs for the </w:t>
      </w:r>
      <w:r w:rsidR="0075656B" w:rsidRPr="00003546">
        <w:rPr>
          <w:i/>
          <w:lang w:val="en-US"/>
        </w:rPr>
        <w:t>period</w:t>
      </w:r>
      <w:r w:rsidRPr="00003546">
        <w:rPr>
          <w:i/>
          <w:lang w:val="en-US"/>
        </w:rPr>
        <w:t xml:space="preserve"> 2006-2008. Results show </w:t>
      </w:r>
      <w:r w:rsidR="0075656B" w:rsidRPr="00003546">
        <w:rPr>
          <w:i/>
          <w:lang w:val="en-US"/>
        </w:rPr>
        <w:t xml:space="preserve">training activities </w:t>
      </w:r>
      <w:r w:rsidR="003C010F" w:rsidRPr="00003546">
        <w:rPr>
          <w:i/>
          <w:lang w:val="en-US"/>
        </w:rPr>
        <w:t>are correlated to</w:t>
      </w:r>
      <w:r w:rsidR="0075656B" w:rsidRPr="00003546">
        <w:rPr>
          <w:i/>
          <w:lang w:val="en-US"/>
        </w:rPr>
        <w:t xml:space="preserve"> higher </w:t>
      </w:r>
      <w:r w:rsidRPr="00003546">
        <w:rPr>
          <w:i/>
          <w:lang w:val="en-US"/>
        </w:rPr>
        <w:t xml:space="preserve">productivity </w:t>
      </w:r>
      <w:r w:rsidR="0075656B" w:rsidRPr="00003546">
        <w:rPr>
          <w:i/>
          <w:lang w:val="en-US"/>
        </w:rPr>
        <w:t xml:space="preserve">than wage </w:t>
      </w:r>
      <w:r w:rsidR="003C010F" w:rsidRPr="00003546">
        <w:rPr>
          <w:i/>
          <w:lang w:val="en-US"/>
        </w:rPr>
        <w:t>levels</w:t>
      </w:r>
      <w:r w:rsidR="0075656B" w:rsidRPr="00003546">
        <w:rPr>
          <w:i/>
          <w:lang w:val="en-US"/>
        </w:rPr>
        <w:t xml:space="preserve">, which means that the benefits of better capabilities are unequally distributed between the firm and its employees and provides evidence regarding the existence of a productivity-wage gap. Results also show that this gap tends to decrease among medium- and high-tech sectors, which provides evidence regarding the impact of the process of structural change </w:t>
      </w:r>
      <w:r w:rsidR="00D810E8" w:rsidRPr="00003546">
        <w:rPr>
          <w:i/>
          <w:lang w:val="en-US"/>
        </w:rPr>
        <w:t>on</w:t>
      </w:r>
      <w:r w:rsidR="0075656B" w:rsidRPr="00003546">
        <w:rPr>
          <w:i/>
          <w:lang w:val="en-US"/>
        </w:rPr>
        <w:t xml:space="preserve"> equity. Finally, evidence is not conclusive about the impact of labor institutions which calls the attention on the need for more research on the subject.</w:t>
      </w:r>
    </w:p>
    <w:p w14:paraId="2F3AD27D" w14:textId="77777777" w:rsidR="003E1B03" w:rsidRDefault="003E1B03" w:rsidP="006F2141">
      <w:pPr>
        <w:rPr>
          <w:lang w:val="en-US"/>
        </w:rPr>
      </w:pPr>
    </w:p>
    <w:p w14:paraId="7EA9DCC6" w14:textId="77777777" w:rsidR="008B1E10" w:rsidRDefault="008B1E10" w:rsidP="008B1E10">
      <w:pPr>
        <w:rPr>
          <w:lang w:val="en-US"/>
        </w:rPr>
      </w:pPr>
      <w:r w:rsidRPr="008B1E10">
        <w:rPr>
          <w:b/>
          <w:lang w:val="en-US"/>
        </w:rPr>
        <w:t>Keywords:</w:t>
      </w:r>
      <w:r>
        <w:rPr>
          <w:lang w:val="en-US"/>
        </w:rPr>
        <w:t xml:space="preserve"> productivity, wages, training, SMEs</w:t>
      </w:r>
    </w:p>
    <w:p w14:paraId="55879030" w14:textId="77777777" w:rsidR="00F641AE" w:rsidRPr="008B1E10" w:rsidRDefault="00F641AE" w:rsidP="008B1E10">
      <w:pPr>
        <w:rPr>
          <w:lang w:val="en-US"/>
        </w:rPr>
      </w:pPr>
    </w:p>
    <w:p w14:paraId="53BC8F4B" w14:textId="77777777" w:rsidR="00905195" w:rsidRDefault="00905195">
      <w:pPr>
        <w:spacing w:after="200"/>
        <w:jc w:val="left"/>
        <w:rPr>
          <w:rFonts w:eastAsiaTheme="majorEastAsia" w:cstheme="majorBidi"/>
          <w:b/>
          <w:sz w:val="26"/>
          <w:szCs w:val="26"/>
          <w:lang w:val="en-US"/>
        </w:rPr>
      </w:pPr>
      <w:r>
        <w:rPr>
          <w:b/>
          <w:lang w:val="en-US"/>
        </w:rPr>
        <w:br w:type="page"/>
      </w:r>
    </w:p>
    <w:p w14:paraId="4CB36FCE" w14:textId="34C3B9D2" w:rsidR="0081639E" w:rsidRPr="00016AA6" w:rsidRDefault="006F27F3" w:rsidP="006F27F3">
      <w:pPr>
        <w:pStyle w:val="Ttulo2"/>
        <w:rPr>
          <w:rFonts w:ascii="Garamond" w:hAnsi="Garamond"/>
          <w:b/>
          <w:color w:val="auto"/>
          <w:lang w:val="en-US"/>
        </w:rPr>
      </w:pPr>
      <w:r w:rsidRPr="00016AA6">
        <w:rPr>
          <w:rFonts w:ascii="Garamond" w:hAnsi="Garamond"/>
          <w:b/>
          <w:color w:val="auto"/>
          <w:lang w:val="en-US"/>
        </w:rPr>
        <w:lastRenderedPageBreak/>
        <w:t>Introduction</w:t>
      </w:r>
    </w:p>
    <w:p w14:paraId="1AD52108" w14:textId="77777777" w:rsidR="0081639E" w:rsidRPr="00177E73" w:rsidRDefault="0081639E" w:rsidP="0081639E">
      <w:pPr>
        <w:rPr>
          <w:lang w:val="en-US"/>
        </w:rPr>
      </w:pPr>
    </w:p>
    <w:p w14:paraId="7D60F8A8" w14:textId="3DACFD61" w:rsidR="003B3584" w:rsidRDefault="0081639E" w:rsidP="0081639E">
      <w:pPr>
        <w:rPr>
          <w:lang w:val="en-US"/>
        </w:rPr>
      </w:pPr>
      <w:r w:rsidRPr="00177E73">
        <w:rPr>
          <w:lang w:val="en-US"/>
        </w:rPr>
        <w:t>Argentina has experienced a strong and sustain</w:t>
      </w:r>
      <w:r w:rsidR="003B3584">
        <w:rPr>
          <w:lang w:val="en-US"/>
        </w:rPr>
        <w:t>ed</w:t>
      </w:r>
      <w:r w:rsidRPr="00177E73">
        <w:rPr>
          <w:lang w:val="en-US"/>
        </w:rPr>
        <w:t xml:space="preserve"> growth during the ten years following the </w:t>
      </w:r>
      <w:r w:rsidR="00730531" w:rsidRPr="00177E73">
        <w:rPr>
          <w:lang w:val="en-US"/>
        </w:rPr>
        <w:t xml:space="preserve">economic crisis of 2002. This period of growth had some features that distinguish it from the ’90s. Particularly, </w:t>
      </w:r>
      <w:proofErr w:type="spellStart"/>
      <w:r w:rsidR="00730531" w:rsidRPr="00177E73">
        <w:rPr>
          <w:lang w:val="en-US"/>
        </w:rPr>
        <w:t>i</w:t>
      </w:r>
      <w:proofErr w:type="spellEnd"/>
      <w:r w:rsidR="00730531" w:rsidRPr="00177E73">
        <w:rPr>
          <w:lang w:val="en-US"/>
        </w:rPr>
        <w:t>) there was a simultaneous growth of employment and manufactur</w:t>
      </w:r>
      <w:r w:rsidR="00AD67D0" w:rsidRPr="00177E73">
        <w:rPr>
          <w:lang w:val="en-US"/>
        </w:rPr>
        <w:t>ing</w:t>
      </w:r>
      <w:r w:rsidR="00730531" w:rsidRPr="00177E73">
        <w:rPr>
          <w:lang w:val="en-US"/>
        </w:rPr>
        <w:t xml:space="preserve"> productivity, ii) the growth of formal employment was higher than informal one, and iii) the</w:t>
      </w:r>
      <w:r w:rsidR="00AD67D0" w:rsidRPr="00177E73">
        <w:rPr>
          <w:lang w:val="en-US"/>
        </w:rPr>
        <w:t>re</w:t>
      </w:r>
      <w:r w:rsidR="00730531" w:rsidRPr="00177E73">
        <w:rPr>
          <w:lang w:val="en-US"/>
        </w:rPr>
        <w:t xml:space="preserve"> was a</w:t>
      </w:r>
      <w:r w:rsidR="003B3584">
        <w:rPr>
          <w:lang w:val="en-US"/>
        </w:rPr>
        <w:t xml:space="preserve"> generalized</w:t>
      </w:r>
      <w:r w:rsidR="00730531" w:rsidRPr="00177E73">
        <w:rPr>
          <w:lang w:val="en-US"/>
        </w:rPr>
        <w:t xml:space="preserve"> improvement of wage</w:t>
      </w:r>
      <w:r w:rsidR="00AD67D0" w:rsidRPr="00177E73">
        <w:rPr>
          <w:lang w:val="en-US"/>
        </w:rPr>
        <w:t xml:space="preserve"> level</w:t>
      </w:r>
      <w:r w:rsidR="003B3584">
        <w:rPr>
          <w:lang w:val="en-US"/>
        </w:rPr>
        <w:t>s</w:t>
      </w:r>
      <w:r w:rsidR="006236B4" w:rsidRPr="00226207">
        <w:rPr>
          <w:lang w:val="en-US"/>
        </w:rPr>
        <w:t>.</w:t>
      </w:r>
      <w:r w:rsidR="003B3584">
        <w:rPr>
          <w:lang w:val="en-US"/>
        </w:rPr>
        <w:t xml:space="preserve"> </w:t>
      </w:r>
      <w:r w:rsidR="0027169D" w:rsidRPr="00177E73">
        <w:rPr>
          <w:lang w:val="en-US"/>
        </w:rPr>
        <w:t xml:space="preserve">More recently, the deceleration of growth and the increasing of inflation </w:t>
      </w:r>
      <w:r w:rsidR="003E1B03" w:rsidRPr="00177E73">
        <w:rPr>
          <w:lang w:val="en-US"/>
        </w:rPr>
        <w:t>open</w:t>
      </w:r>
      <w:r w:rsidR="003E1B03">
        <w:rPr>
          <w:lang w:val="en-US"/>
        </w:rPr>
        <w:t>ed</w:t>
      </w:r>
      <w:r w:rsidR="0027169D" w:rsidRPr="00177E73">
        <w:rPr>
          <w:lang w:val="en-US"/>
        </w:rPr>
        <w:t xml:space="preserve"> up a debate about the productivity gains and the mechanism of transmission of those gains </w:t>
      </w:r>
      <w:r w:rsidR="00AD67D0" w:rsidRPr="00177E73">
        <w:rPr>
          <w:lang w:val="en-US"/>
        </w:rPr>
        <w:t>in</w:t>
      </w:r>
      <w:r w:rsidR="0027169D" w:rsidRPr="00177E73">
        <w:rPr>
          <w:lang w:val="en-US"/>
        </w:rPr>
        <w:t>to higher wages.</w:t>
      </w:r>
    </w:p>
    <w:p w14:paraId="0C30538C" w14:textId="77777777" w:rsidR="00B47875" w:rsidRPr="00226207" w:rsidRDefault="003B3584" w:rsidP="0081639E">
      <w:pPr>
        <w:rPr>
          <w:lang w:val="en-US"/>
        </w:rPr>
      </w:pPr>
      <w:r>
        <w:rPr>
          <w:lang w:val="en-US"/>
        </w:rPr>
        <w:t>T</w:t>
      </w:r>
      <w:r w:rsidR="0027169D" w:rsidRPr="00177E73">
        <w:rPr>
          <w:lang w:val="en-US"/>
        </w:rPr>
        <w:t>he structural effects of economic growth and the impact on labor market were studied by the literature</w:t>
      </w:r>
      <w:r w:rsidR="00F80740" w:rsidRPr="00177E73">
        <w:rPr>
          <w:lang w:val="en-US"/>
        </w:rPr>
        <w:t>, mainly from aggregate</w:t>
      </w:r>
      <w:r>
        <w:rPr>
          <w:lang w:val="en-US"/>
        </w:rPr>
        <w:t>d</w:t>
      </w:r>
      <w:r w:rsidR="00F80740" w:rsidRPr="00177E73">
        <w:rPr>
          <w:lang w:val="en-US"/>
        </w:rPr>
        <w:t xml:space="preserve"> and sector</w:t>
      </w:r>
      <w:r>
        <w:rPr>
          <w:lang w:val="en-US"/>
        </w:rPr>
        <w:t>i</w:t>
      </w:r>
      <w:r w:rsidR="00F80740" w:rsidRPr="00177E73">
        <w:rPr>
          <w:lang w:val="en-US"/>
        </w:rPr>
        <w:t xml:space="preserve">al </w:t>
      </w:r>
      <w:r w:rsidR="00AD67D0" w:rsidRPr="00177E73">
        <w:rPr>
          <w:lang w:val="en-US"/>
        </w:rPr>
        <w:t>level</w:t>
      </w:r>
      <w:r>
        <w:rPr>
          <w:lang w:val="en-US"/>
        </w:rPr>
        <w:t>s</w:t>
      </w:r>
      <w:r w:rsidR="00F80740" w:rsidRPr="00177E73">
        <w:rPr>
          <w:lang w:val="en-US"/>
        </w:rPr>
        <w:t>.</w:t>
      </w:r>
      <w:r>
        <w:rPr>
          <w:lang w:val="en-US"/>
        </w:rPr>
        <w:t xml:space="preserve"> From a more academic angle, t</w:t>
      </w:r>
      <w:r w:rsidR="00F80740" w:rsidRPr="00177E73">
        <w:rPr>
          <w:lang w:val="en-US"/>
        </w:rPr>
        <w:t xml:space="preserve">hese </w:t>
      </w:r>
      <w:r w:rsidR="00F80740" w:rsidRPr="009539A9">
        <w:rPr>
          <w:lang w:val="en-US"/>
        </w:rPr>
        <w:t>studies discussed</w:t>
      </w:r>
      <w:r w:rsidR="00AD67D0" w:rsidRPr="009539A9">
        <w:rPr>
          <w:lang w:val="en-US"/>
        </w:rPr>
        <w:t xml:space="preserve"> </w:t>
      </w:r>
      <w:r w:rsidRPr="009539A9">
        <w:rPr>
          <w:lang w:val="en-US"/>
        </w:rPr>
        <w:t>to what extent</w:t>
      </w:r>
      <w:r w:rsidR="00F80740" w:rsidRPr="009539A9">
        <w:rPr>
          <w:lang w:val="en-US"/>
        </w:rPr>
        <w:t xml:space="preserve"> </w:t>
      </w:r>
      <w:r w:rsidR="00AD67D0" w:rsidRPr="009539A9">
        <w:rPr>
          <w:lang w:val="en-US"/>
        </w:rPr>
        <w:t>the growth of</w:t>
      </w:r>
      <w:r w:rsidR="00F80740" w:rsidRPr="009539A9">
        <w:rPr>
          <w:lang w:val="en-US"/>
        </w:rPr>
        <w:t xml:space="preserve"> manufacturing productivity is explained by changes in the sector</w:t>
      </w:r>
      <w:r w:rsidRPr="009539A9">
        <w:rPr>
          <w:lang w:val="en-US"/>
        </w:rPr>
        <w:t>i</w:t>
      </w:r>
      <w:r w:rsidR="00F80740" w:rsidRPr="009539A9">
        <w:rPr>
          <w:lang w:val="en-US"/>
        </w:rPr>
        <w:t xml:space="preserve">al </w:t>
      </w:r>
      <w:r w:rsidR="00AD67D0" w:rsidRPr="009539A9">
        <w:rPr>
          <w:lang w:val="en-US"/>
        </w:rPr>
        <w:t>structure</w:t>
      </w:r>
      <w:r w:rsidR="00F80740" w:rsidRPr="009539A9">
        <w:rPr>
          <w:lang w:val="en-US"/>
        </w:rPr>
        <w:t xml:space="preserve"> of</w:t>
      </w:r>
      <w:r w:rsidRPr="009539A9">
        <w:rPr>
          <w:lang w:val="en-US"/>
        </w:rPr>
        <w:t xml:space="preserve"> the</w:t>
      </w:r>
      <w:r w:rsidR="00F80740" w:rsidRPr="009539A9">
        <w:rPr>
          <w:lang w:val="en-US"/>
        </w:rPr>
        <w:t xml:space="preserve"> industry</w:t>
      </w:r>
      <w:r w:rsidRPr="009539A9">
        <w:rPr>
          <w:lang w:val="en-US"/>
        </w:rPr>
        <w:t xml:space="preserve"> (</w:t>
      </w:r>
      <w:proofErr w:type="spellStart"/>
      <w:r w:rsidRPr="009539A9">
        <w:rPr>
          <w:lang w:val="en-US"/>
        </w:rPr>
        <w:t>Peirano</w:t>
      </w:r>
      <w:proofErr w:type="spellEnd"/>
      <w:r w:rsidRPr="009539A9">
        <w:rPr>
          <w:lang w:val="en-US"/>
        </w:rPr>
        <w:t xml:space="preserve"> et al 201</w:t>
      </w:r>
      <w:r w:rsidR="00557280" w:rsidRPr="009539A9">
        <w:rPr>
          <w:lang w:val="en-US"/>
        </w:rPr>
        <w:t>0</w:t>
      </w:r>
      <w:r w:rsidRPr="009539A9">
        <w:rPr>
          <w:lang w:val="en-US"/>
        </w:rPr>
        <w:t xml:space="preserve">; </w:t>
      </w:r>
      <w:proofErr w:type="spellStart"/>
      <w:r w:rsidR="0032040A" w:rsidRPr="008B1E10">
        <w:rPr>
          <w:lang w:val="en-US"/>
        </w:rPr>
        <w:t>Lavopa</w:t>
      </w:r>
      <w:proofErr w:type="spellEnd"/>
      <w:r w:rsidR="0032040A" w:rsidRPr="008B1E10">
        <w:rPr>
          <w:lang w:val="en-US"/>
        </w:rPr>
        <w:t>, 2007</w:t>
      </w:r>
      <w:r w:rsidRPr="009539A9">
        <w:rPr>
          <w:lang w:val="en-US"/>
        </w:rPr>
        <w:t xml:space="preserve">, </w:t>
      </w:r>
      <w:proofErr w:type="spellStart"/>
      <w:r w:rsidRPr="009539A9">
        <w:rPr>
          <w:lang w:val="en-US"/>
        </w:rPr>
        <w:t>Cenda</w:t>
      </w:r>
      <w:proofErr w:type="spellEnd"/>
      <w:r w:rsidRPr="009539A9">
        <w:rPr>
          <w:lang w:val="en-US"/>
        </w:rPr>
        <w:t xml:space="preserve">, 2010, </w:t>
      </w:r>
      <w:proofErr w:type="spellStart"/>
      <w:r w:rsidRPr="009539A9">
        <w:rPr>
          <w:lang w:val="en-US"/>
        </w:rPr>
        <w:t>Azpiazu</w:t>
      </w:r>
      <w:proofErr w:type="spellEnd"/>
      <w:r w:rsidRPr="009539A9">
        <w:rPr>
          <w:lang w:val="en-US"/>
        </w:rPr>
        <w:t xml:space="preserve"> and </w:t>
      </w:r>
      <w:proofErr w:type="spellStart"/>
      <w:r w:rsidRPr="009539A9">
        <w:rPr>
          <w:lang w:val="en-US"/>
        </w:rPr>
        <w:t>Shorr</w:t>
      </w:r>
      <w:proofErr w:type="spellEnd"/>
      <w:r w:rsidRPr="009539A9">
        <w:rPr>
          <w:lang w:val="en-US"/>
        </w:rPr>
        <w:t xml:space="preserve">, 2010, </w:t>
      </w:r>
      <w:proofErr w:type="spellStart"/>
      <w:r w:rsidRPr="009539A9">
        <w:rPr>
          <w:lang w:val="en-US"/>
        </w:rPr>
        <w:t>Coatz</w:t>
      </w:r>
      <w:proofErr w:type="spellEnd"/>
      <w:r w:rsidRPr="009539A9">
        <w:rPr>
          <w:lang w:val="en-US"/>
        </w:rPr>
        <w:t xml:space="preserve"> et</w:t>
      </w:r>
      <w:r w:rsidR="00557280" w:rsidRPr="009539A9">
        <w:rPr>
          <w:lang w:val="en-US"/>
        </w:rPr>
        <w:t>.</w:t>
      </w:r>
      <w:r w:rsidRPr="009539A9">
        <w:rPr>
          <w:lang w:val="en-US"/>
        </w:rPr>
        <w:t xml:space="preserve"> al 2011, </w:t>
      </w:r>
      <w:proofErr w:type="spellStart"/>
      <w:r w:rsidRPr="009539A9">
        <w:rPr>
          <w:lang w:val="en-US"/>
        </w:rPr>
        <w:t>Santarc</w:t>
      </w:r>
      <w:r w:rsidR="008123CD" w:rsidRPr="009539A9">
        <w:rPr>
          <w:lang w:val="en-US"/>
        </w:rPr>
        <w:t>á</w:t>
      </w:r>
      <w:r w:rsidRPr="009539A9">
        <w:rPr>
          <w:lang w:val="en-US"/>
        </w:rPr>
        <w:t>ngelo</w:t>
      </w:r>
      <w:proofErr w:type="spellEnd"/>
      <w:r w:rsidRPr="009539A9">
        <w:rPr>
          <w:lang w:val="en-US"/>
        </w:rPr>
        <w:t xml:space="preserve"> et al 2011, Fernandez </w:t>
      </w:r>
      <w:proofErr w:type="spellStart"/>
      <w:r w:rsidRPr="009539A9">
        <w:rPr>
          <w:lang w:val="en-US"/>
        </w:rPr>
        <w:t>Burga</w:t>
      </w:r>
      <w:proofErr w:type="spellEnd"/>
      <w:r w:rsidRPr="009539A9">
        <w:rPr>
          <w:lang w:val="en-US"/>
        </w:rPr>
        <w:t xml:space="preserve"> and Porta, 2008, </w:t>
      </w:r>
      <w:proofErr w:type="spellStart"/>
      <w:r w:rsidRPr="009539A9">
        <w:rPr>
          <w:lang w:val="en-US"/>
        </w:rPr>
        <w:t>Basualdo</w:t>
      </w:r>
      <w:proofErr w:type="spellEnd"/>
      <w:r w:rsidRPr="009539A9">
        <w:rPr>
          <w:lang w:val="en-US"/>
        </w:rPr>
        <w:t xml:space="preserve"> et al, 2010, </w:t>
      </w:r>
      <w:proofErr w:type="spellStart"/>
      <w:r w:rsidR="0032040A" w:rsidRPr="008B1E10">
        <w:rPr>
          <w:lang w:val="en-US"/>
        </w:rPr>
        <w:t>Roitter</w:t>
      </w:r>
      <w:proofErr w:type="spellEnd"/>
      <w:r w:rsidR="0032040A" w:rsidRPr="008B1E10">
        <w:rPr>
          <w:lang w:val="en-US"/>
        </w:rPr>
        <w:t>, et al 201</w:t>
      </w:r>
      <w:r w:rsidR="00A77AB6" w:rsidRPr="008B1E10">
        <w:rPr>
          <w:lang w:val="en-US"/>
        </w:rPr>
        <w:t>3</w:t>
      </w:r>
      <w:r w:rsidR="0032040A" w:rsidRPr="008B1E10">
        <w:rPr>
          <w:lang w:val="en-US"/>
        </w:rPr>
        <w:t>)</w:t>
      </w:r>
      <w:r w:rsidR="00F80740" w:rsidRPr="009539A9">
        <w:rPr>
          <w:lang w:val="en-US"/>
        </w:rPr>
        <w:t>.</w:t>
      </w:r>
      <w:r w:rsidR="0049439B" w:rsidRPr="009539A9">
        <w:rPr>
          <w:lang w:val="en-US"/>
        </w:rPr>
        <w:t xml:space="preserve"> </w:t>
      </w:r>
      <w:r w:rsidRPr="009539A9">
        <w:rPr>
          <w:lang w:val="en-US"/>
        </w:rPr>
        <w:t>From a more policy perspective</w:t>
      </w:r>
      <w:r w:rsidR="00F80740" w:rsidRPr="009539A9">
        <w:rPr>
          <w:lang w:val="en-US"/>
        </w:rPr>
        <w:t>, the changes occurred in the labor market were descri</w:t>
      </w:r>
      <w:r w:rsidRPr="009539A9">
        <w:rPr>
          <w:lang w:val="en-US"/>
        </w:rPr>
        <w:t xml:space="preserve">bed </w:t>
      </w:r>
      <w:r w:rsidR="00F80740" w:rsidRPr="009539A9">
        <w:rPr>
          <w:lang w:val="en-US"/>
        </w:rPr>
        <w:t>on the basis of aggregate</w:t>
      </w:r>
      <w:r w:rsidRPr="009539A9">
        <w:rPr>
          <w:lang w:val="en-US"/>
        </w:rPr>
        <w:t>d</w:t>
      </w:r>
      <w:r w:rsidR="00F80740" w:rsidRPr="009539A9">
        <w:rPr>
          <w:lang w:val="en-US"/>
        </w:rPr>
        <w:t xml:space="preserve"> data about </w:t>
      </w:r>
      <w:r w:rsidR="00777A6C" w:rsidRPr="009539A9">
        <w:rPr>
          <w:lang w:val="en-US"/>
        </w:rPr>
        <w:t>the</w:t>
      </w:r>
      <w:r w:rsidR="00777A6C" w:rsidRPr="00177E73">
        <w:rPr>
          <w:lang w:val="en-US"/>
        </w:rPr>
        <w:t xml:space="preserve"> </w:t>
      </w:r>
      <w:r w:rsidR="00777A6C" w:rsidRPr="00557280">
        <w:rPr>
          <w:lang w:val="en-US"/>
        </w:rPr>
        <w:t xml:space="preserve">dynamic and quality of employment –formality, wages- and the evolution of labor </w:t>
      </w:r>
      <w:r w:rsidR="00B47875" w:rsidRPr="00557280">
        <w:rPr>
          <w:lang w:val="en-US"/>
        </w:rPr>
        <w:t xml:space="preserve">market </w:t>
      </w:r>
      <w:r w:rsidR="00777A6C" w:rsidRPr="00557280">
        <w:rPr>
          <w:lang w:val="en-US"/>
        </w:rPr>
        <w:t>institutions –collective bargaining agreements, minimum wage-</w:t>
      </w:r>
      <w:r w:rsidR="001717DC" w:rsidRPr="00557280">
        <w:rPr>
          <w:lang w:val="en-US"/>
        </w:rPr>
        <w:t xml:space="preserve"> </w:t>
      </w:r>
      <w:r w:rsidR="001717DC" w:rsidRPr="00276AB3">
        <w:rPr>
          <w:lang w:val="en-US"/>
        </w:rPr>
        <w:t>(</w:t>
      </w:r>
      <w:r w:rsidR="006113D3" w:rsidRPr="00276AB3">
        <w:rPr>
          <w:lang w:val="en-US"/>
        </w:rPr>
        <w:t xml:space="preserve">MTESS 2010, Palomino and </w:t>
      </w:r>
      <w:proofErr w:type="spellStart"/>
      <w:r w:rsidR="006113D3" w:rsidRPr="00276AB3">
        <w:rPr>
          <w:lang w:val="en-US"/>
        </w:rPr>
        <w:t>Trajtemberg</w:t>
      </w:r>
      <w:proofErr w:type="spellEnd"/>
      <w:r w:rsidR="006113D3" w:rsidRPr="00276AB3">
        <w:rPr>
          <w:lang w:val="en-US"/>
        </w:rPr>
        <w:t xml:space="preserve">, 2006, </w:t>
      </w:r>
      <w:proofErr w:type="spellStart"/>
      <w:r w:rsidR="006113D3" w:rsidRPr="00276AB3">
        <w:rPr>
          <w:lang w:val="en-US"/>
        </w:rPr>
        <w:t>Novick</w:t>
      </w:r>
      <w:proofErr w:type="spellEnd"/>
      <w:r w:rsidR="006113D3" w:rsidRPr="00276AB3">
        <w:rPr>
          <w:lang w:val="en-US"/>
        </w:rPr>
        <w:t xml:space="preserve"> et al 2007</w:t>
      </w:r>
      <w:r w:rsidR="00A47EF9" w:rsidRPr="00557280">
        <w:rPr>
          <w:lang w:val="en-US"/>
        </w:rPr>
        <w:t xml:space="preserve">, </w:t>
      </w:r>
      <w:proofErr w:type="spellStart"/>
      <w:r w:rsidR="00A47EF9" w:rsidRPr="00557280">
        <w:rPr>
          <w:lang w:val="en-US"/>
        </w:rPr>
        <w:t>Sarabia</w:t>
      </w:r>
      <w:proofErr w:type="spellEnd"/>
      <w:r w:rsidR="00A47EF9" w:rsidRPr="00557280">
        <w:rPr>
          <w:lang w:val="en-US"/>
        </w:rPr>
        <w:t xml:space="preserve"> et al 2010</w:t>
      </w:r>
      <w:r w:rsidR="006113D3" w:rsidRPr="00557280">
        <w:rPr>
          <w:lang w:val="en-US"/>
        </w:rPr>
        <w:t>)</w:t>
      </w:r>
      <w:r w:rsidR="00777A6C" w:rsidRPr="00557280">
        <w:rPr>
          <w:lang w:val="en-US"/>
        </w:rPr>
        <w:t>.</w:t>
      </w:r>
      <w:r w:rsidRPr="00557280">
        <w:rPr>
          <w:lang w:val="en-US"/>
        </w:rPr>
        <w:t xml:space="preserve"> O</w:t>
      </w:r>
      <w:r w:rsidR="00777A6C" w:rsidRPr="00557280">
        <w:rPr>
          <w:lang w:val="en-US"/>
        </w:rPr>
        <w:t>ther studies use</w:t>
      </w:r>
      <w:r w:rsidRPr="00557280">
        <w:rPr>
          <w:lang w:val="en-US"/>
        </w:rPr>
        <w:t>d</w:t>
      </w:r>
      <w:r w:rsidR="00777A6C" w:rsidRPr="00557280">
        <w:rPr>
          <w:lang w:val="en-US"/>
        </w:rPr>
        <w:t xml:space="preserve"> household</w:t>
      </w:r>
      <w:r w:rsidR="00777A6C" w:rsidRPr="00177E73">
        <w:rPr>
          <w:lang w:val="en-US"/>
        </w:rPr>
        <w:t xml:space="preserve"> surveys to describe the transformations of the labor market</w:t>
      </w:r>
      <w:r w:rsidR="00B47875" w:rsidRPr="00177E73">
        <w:rPr>
          <w:lang w:val="en-US"/>
        </w:rPr>
        <w:t xml:space="preserve"> analyzing </w:t>
      </w:r>
      <w:r w:rsidR="00777A6C" w:rsidRPr="00177E73">
        <w:rPr>
          <w:lang w:val="en-US"/>
        </w:rPr>
        <w:t>the effect</w:t>
      </w:r>
      <w:r w:rsidR="00B47875" w:rsidRPr="00177E73">
        <w:rPr>
          <w:lang w:val="en-US"/>
        </w:rPr>
        <w:t>s</w:t>
      </w:r>
      <w:r w:rsidR="00777A6C" w:rsidRPr="00177E73">
        <w:rPr>
          <w:lang w:val="en-US"/>
        </w:rPr>
        <w:t xml:space="preserve"> of education </w:t>
      </w:r>
      <w:r w:rsidR="00777A6C" w:rsidRPr="00557280">
        <w:rPr>
          <w:lang w:val="en-US"/>
        </w:rPr>
        <w:t xml:space="preserve">over wages </w:t>
      </w:r>
      <w:r w:rsidR="00777A6C" w:rsidRPr="00276AB3">
        <w:rPr>
          <w:lang w:val="en-US"/>
        </w:rPr>
        <w:t>(</w:t>
      </w:r>
      <w:r w:rsidR="00A47EF9" w:rsidRPr="00276AB3">
        <w:rPr>
          <w:lang w:val="en-US"/>
        </w:rPr>
        <w:t xml:space="preserve">Beccaria et al 2005, Beccaria </w:t>
      </w:r>
      <w:r w:rsidR="00A40D2B">
        <w:rPr>
          <w:lang w:val="en-US"/>
        </w:rPr>
        <w:t>and</w:t>
      </w:r>
      <w:r w:rsidR="00A40D2B" w:rsidRPr="00276AB3">
        <w:rPr>
          <w:lang w:val="en-US"/>
        </w:rPr>
        <w:t xml:space="preserve"> </w:t>
      </w:r>
      <w:r w:rsidR="00777A6C" w:rsidRPr="00557280">
        <w:rPr>
          <w:lang w:val="en-US"/>
        </w:rPr>
        <w:t xml:space="preserve">Maurizio, </w:t>
      </w:r>
      <w:r w:rsidR="00A47EF9" w:rsidRPr="00557280">
        <w:rPr>
          <w:lang w:val="en-US"/>
        </w:rPr>
        <w:t>2014</w:t>
      </w:r>
      <w:r w:rsidR="00777A6C" w:rsidRPr="00557280">
        <w:rPr>
          <w:lang w:val="en-US"/>
        </w:rPr>
        <w:t xml:space="preserve">, </w:t>
      </w:r>
      <w:proofErr w:type="spellStart"/>
      <w:r w:rsidR="00777A6C" w:rsidRPr="00557280">
        <w:rPr>
          <w:lang w:val="en-US"/>
        </w:rPr>
        <w:t>Groisman</w:t>
      </w:r>
      <w:proofErr w:type="spellEnd"/>
      <w:r w:rsidR="00777A6C" w:rsidRPr="00557280">
        <w:rPr>
          <w:lang w:val="en-US"/>
        </w:rPr>
        <w:t>, 2014).</w:t>
      </w:r>
      <w:r w:rsidR="00B47875" w:rsidRPr="00557280">
        <w:rPr>
          <w:lang w:val="en-US"/>
        </w:rPr>
        <w:t xml:space="preserve"> These</w:t>
      </w:r>
      <w:r w:rsidR="00B47875" w:rsidRPr="00177E73">
        <w:rPr>
          <w:lang w:val="en-US"/>
        </w:rPr>
        <w:t xml:space="preserve"> </w:t>
      </w:r>
      <w:r>
        <w:rPr>
          <w:lang w:val="en-US"/>
        </w:rPr>
        <w:t xml:space="preserve">contributions </w:t>
      </w:r>
      <w:r w:rsidR="00B47875" w:rsidRPr="00177E73">
        <w:rPr>
          <w:lang w:val="en-US"/>
        </w:rPr>
        <w:t>have shown that the qualification of workers has a positive impact on wages (albeit declining, due to the lower variability of wages and higher skill levels in the workforce).</w:t>
      </w:r>
    </w:p>
    <w:p w14:paraId="3501E7EB" w14:textId="23096E54" w:rsidR="00AF27E0" w:rsidRPr="001717DC" w:rsidRDefault="00D7093D" w:rsidP="0081639E">
      <w:pPr>
        <w:rPr>
          <w:lang w:val="en-US"/>
        </w:rPr>
      </w:pPr>
      <w:r w:rsidRPr="00177E73">
        <w:rPr>
          <w:lang w:val="en-US"/>
        </w:rPr>
        <w:t xml:space="preserve">In this context, a growing number of studies on the relationship between productivity and wages have proliferated. However, </w:t>
      </w:r>
      <w:r w:rsidR="003B3584">
        <w:rPr>
          <w:lang w:val="en-US"/>
        </w:rPr>
        <w:t xml:space="preserve">less attention has been paid to </w:t>
      </w:r>
      <w:r w:rsidR="00A451AB" w:rsidRPr="00177E73">
        <w:rPr>
          <w:lang w:val="en-US"/>
        </w:rPr>
        <w:t>this relationship at firm level</w:t>
      </w:r>
      <w:r w:rsidR="003B3584">
        <w:rPr>
          <w:lang w:val="en-US"/>
        </w:rPr>
        <w:t xml:space="preserve"> and </w:t>
      </w:r>
      <w:r w:rsidR="00482887">
        <w:rPr>
          <w:lang w:val="en-US"/>
        </w:rPr>
        <w:t>this is</w:t>
      </w:r>
      <w:r w:rsidR="003B3584">
        <w:rPr>
          <w:lang w:val="en-US"/>
        </w:rPr>
        <w:t xml:space="preserve"> the intended contribution of this paper</w:t>
      </w:r>
      <w:r w:rsidR="00A451AB" w:rsidRPr="00177E73">
        <w:rPr>
          <w:lang w:val="en-US"/>
        </w:rPr>
        <w:t xml:space="preserve">. </w:t>
      </w:r>
      <w:r w:rsidR="00AF27E0" w:rsidRPr="00177E73">
        <w:rPr>
          <w:lang w:val="en-US"/>
        </w:rPr>
        <w:t>This article</w:t>
      </w:r>
      <w:r w:rsidR="003B3584">
        <w:rPr>
          <w:lang w:val="en-US"/>
        </w:rPr>
        <w:t xml:space="preserve"> is a</w:t>
      </w:r>
      <w:r w:rsidR="003E1B03">
        <w:rPr>
          <w:lang w:val="en-US"/>
        </w:rPr>
        <w:t xml:space="preserve">n exploratory </w:t>
      </w:r>
      <w:r w:rsidR="003B3584">
        <w:rPr>
          <w:lang w:val="en-US"/>
        </w:rPr>
        <w:t>attempt to</w:t>
      </w:r>
      <w:r w:rsidR="00AF27E0" w:rsidRPr="00177E73">
        <w:rPr>
          <w:lang w:val="en-US"/>
        </w:rPr>
        <w:t xml:space="preserve"> contribute to fill this gap </w:t>
      </w:r>
      <w:r w:rsidR="0049439B" w:rsidRPr="00177E73">
        <w:rPr>
          <w:lang w:val="en-US"/>
        </w:rPr>
        <w:t xml:space="preserve">in </w:t>
      </w:r>
      <w:r w:rsidR="00AF27E0" w:rsidRPr="00177E73">
        <w:rPr>
          <w:lang w:val="en-US"/>
        </w:rPr>
        <w:t xml:space="preserve">the literature by studying the relationship between productivity and wages </w:t>
      </w:r>
      <w:r w:rsidR="001E006E" w:rsidRPr="00177E73">
        <w:rPr>
          <w:lang w:val="en-US"/>
        </w:rPr>
        <w:t>with</w:t>
      </w:r>
      <w:r w:rsidR="00AF27E0" w:rsidRPr="00177E73">
        <w:rPr>
          <w:lang w:val="en-US"/>
        </w:rPr>
        <w:t xml:space="preserve"> </w:t>
      </w:r>
      <w:r w:rsidR="00743109" w:rsidRPr="00177E73">
        <w:rPr>
          <w:lang w:val="en-US"/>
        </w:rPr>
        <w:t xml:space="preserve">a </w:t>
      </w:r>
      <w:r w:rsidR="00AF27E0" w:rsidRPr="00177E73">
        <w:rPr>
          <w:lang w:val="en-US"/>
        </w:rPr>
        <w:t xml:space="preserve">data-base </w:t>
      </w:r>
      <w:r w:rsidR="003B3584">
        <w:rPr>
          <w:lang w:val="en-US"/>
        </w:rPr>
        <w:t>compounded of</w:t>
      </w:r>
      <w:r w:rsidR="00AF27E0" w:rsidRPr="00177E73">
        <w:rPr>
          <w:lang w:val="en-US"/>
        </w:rPr>
        <w:t xml:space="preserve"> 1400 Argentinean SMEs </w:t>
      </w:r>
      <w:r w:rsidR="001E006E" w:rsidRPr="00177E73">
        <w:rPr>
          <w:lang w:val="en-US"/>
        </w:rPr>
        <w:t>for the years</w:t>
      </w:r>
      <w:r w:rsidR="00AF27E0" w:rsidRPr="00177E73">
        <w:rPr>
          <w:lang w:val="en-US"/>
        </w:rPr>
        <w:t xml:space="preserve"> 2006-2008. We have t</w:t>
      </w:r>
      <w:r w:rsidR="00743109" w:rsidRPr="00177E73">
        <w:rPr>
          <w:lang w:val="en-US"/>
        </w:rPr>
        <w:t>w</w:t>
      </w:r>
      <w:r w:rsidR="00AF27E0" w:rsidRPr="00177E73">
        <w:rPr>
          <w:lang w:val="en-US"/>
        </w:rPr>
        <w:t xml:space="preserve">o main objectives. The first one is to analyze whether the firms with high productivity </w:t>
      </w:r>
      <w:r w:rsidR="0049439B" w:rsidRPr="00177E73">
        <w:rPr>
          <w:lang w:val="en-US"/>
        </w:rPr>
        <w:t xml:space="preserve">have </w:t>
      </w:r>
      <w:r w:rsidR="00AF27E0" w:rsidRPr="00177E73">
        <w:rPr>
          <w:lang w:val="en-US"/>
        </w:rPr>
        <w:t>systematically paid high</w:t>
      </w:r>
      <w:r w:rsidR="00743109" w:rsidRPr="00177E73">
        <w:rPr>
          <w:lang w:val="en-US"/>
        </w:rPr>
        <w:t>er</w:t>
      </w:r>
      <w:r w:rsidR="00AF27E0" w:rsidRPr="00177E73">
        <w:rPr>
          <w:lang w:val="en-US"/>
        </w:rPr>
        <w:t xml:space="preserve"> wages or</w:t>
      </w:r>
      <w:r w:rsidR="00743109" w:rsidRPr="00177E73">
        <w:rPr>
          <w:lang w:val="en-US"/>
        </w:rPr>
        <w:t xml:space="preserve"> if</w:t>
      </w:r>
      <w:r w:rsidR="00AF27E0" w:rsidRPr="00177E73">
        <w:rPr>
          <w:lang w:val="en-US"/>
        </w:rPr>
        <w:t xml:space="preserve"> the productivity </w:t>
      </w:r>
      <w:r w:rsidR="0049439B" w:rsidRPr="00177E73">
        <w:rPr>
          <w:lang w:val="en-US"/>
        </w:rPr>
        <w:t xml:space="preserve">gains have </w:t>
      </w:r>
      <w:r w:rsidR="00AF27E0" w:rsidRPr="00177E73">
        <w:rPr>
          <w:lang w:val="en-US"/>
        </w:rPr>
        <w:t>not completely trans</w:t>
      </w:r>
      <w:r w:rsidR="00743109" w:rsidRPr="00177E73">
        <w:rPr>
          <w:lang w:val="en-US"/>
        </w:rPr>
        <w:t>late</w:t>
      </w:r>
      <w:r w:rsidR="0049439B" w:rsidRPr="00177E73">
        <w:rPr>
          <w:lang w:val="en-US"/>
        </w:rPr>
        <w:t>d</w:t>
      </w:r>
      <w:r w:rsidR="00743109" w:rsidRPr="00177E73">
        <w:rPr>
          <w:lang w:val="en-US"/>
        </w:rPr>
        <w:t xml:space="preserve"> </w:t>
      </w:r>
      <w:r w:rsidR="0049439B" w:rsidRPr="00177E73">
        <w:rPr>
          <w:lang w:val="en-US"/>
        </w:rPr>
        <w:t>in</w:t>
      </w:r>
      <w:r w:rsidR="00AF27E0" w:rsidRPr="00177E73">
        <w:rPr>
          <w:lang w:val="en-US"/>
        </w:rPr>
        <w:t xml:space="preserve">to wages. </w:t>
      </w:r>
      <w:r w:rsidR="00973766" w:rsidRPr="00177E73">
        <w:rPr>
          <w:lang w:val="en-US"/>
        </w:rPr>
        <w:t>This analysis contributes</w:t>
      </w:r>
      <w:r w:rsidR="00AF27E0" w:rsidRPr="00177E73">
        <w:rPr>
          <w:lang w:val="en-US"/>
        </w:rPr>
        <w:t xml:space="preserve"> to understand </w:t>
      </w:r>
      <w:r w:rsidR="003B3584">
        <w:rPr>
          <w:lang w:val="en-US"/>
        </w:rPr>
        <w:t xml:space="preserve">how </w:t>
      </w:r>
      <w:r w:rsidR="00AF27E0" w:rsidRPr="00177E73">
        <w:rPr>
          <w:lang w:val="en-US"/>
        </w:rPr>
        <w:t>the period of economic growth</w:t>
      </w:r>
      <w:r w:rsidR="00743109" w:rsidRPr="00177E73">
        <w:rPr>
          <w:lang w:val="en-US"/>
        </w:rPr>
        <w:t xml:space="preserve"> had </w:t>
      </w:r>
      <w:r w:rsidR="00AF27E0" w:rsidRPr="00177E73">
        <w:rPr>
          <w:lang w:val="en-US"/>
        </w:rPr>
        <w:t>impact</w:t>
      </w:r>
      <w:r w:rsidR="003B3584">
        <w:rPr>
          <w:lang w:val="en-US"/>
        </w:rPr>
        <w:t>ed</w:t>
      </w:r>
      <w:r w:rsidR="00AF27E0" w:rsidRPr="00177E73">
        <w:rPr>
          <w:lang w:val="en-US"/>
        </w:rPr>
        <w:t xml:space="preserve"> on wage improvements. </w:t>
      </w:r>
      <w:r w:rsidR="004C3AB3" w:rsidRPr="00177E73">
        <w:rPr>
          <w:lang w:val="en-US"/>
        </w:rPr>
        <w:t xml:space="preserve">The </w:t>
      </w:r>
      <w:r w:rsidR="00743109" w:rsidRPr="00177E73">
        <w:rPr>
          <w:lang w:val="en-US"/>
        </w:rPr>
        <w:t>firm</w:t>
      </w:r>
      <w:r w:rsidR="00F35D3D" w:rsidRPr="00177E73">
        <w:rPr>
          <w:lang w:val="en-US"/>
        </w:rPr>
        <w:t>-</w:t>
      </w:r>
      <w:r w:rsidR="00743109" w:rsidRPr="00177E73">
        <w:rPr>
          <w:lang w:val="en-US"/>
        </w:rPr>
        <w:t>level analysis</w:t>
      </w:r>
      <w:r w:rsidR="004C3AB3" w:rsidRPr="00177E73">
        <w:rPr>
          <w:lang w:val="en-US"/>
        </w:rPr>
        <w:t xml:space="preserve"> </w:t>
      </w:r>
      <w:r w:rsidR="00F35D3D" w:rsidRPr="00177E73">
        <w:rPr>
          <w:lang w:val="en-US"/>
        </w:rPr>
        <w:t xml:space="preserve">allows </w:t>
      </w:r>
      <w:r w:rsidR="00743109" w:rsidRPr="00177E73">
        <w:rPr>
          <w:lang w:val="en-US"/>
        </w:rPr>
        <w:t xml:space="preserve">determining </w:t>
      </w:r>
      <w:r w:rsidR="0049439B" w:rsidRPr="00177E73">
        <w:rPr>
          <w:lang w:val="en-US"/>
        </w:rPr>
        <w:t xml:space="preserve">if </w:t>
      </w:r>
      <w:r w:rsidR="004C3AB3" w:rsidRPr="00177E73">
        <w:rPr>
          <w:lang w:val="en-US"/>
        </w:rPr>
        <w:t>wage</w:t>
      </w:r>
      <w:r w:rsidR="0049439B" w:rsidRPr="00177E73">
        <w:rPr>
          <w:lang w:val="en-US"/>
        </w:rPr>
        <w:t>s</w:t>
      </w:r>
      <w:r w:rsidR="004C3AB3" w:rsidRPr="00177E73">
        <w:rPr>
          <w:lang w:val="en-US"/>
        </w:rPr>
        <w:t xml:space="preserve"> </w:t>
      </w:r>
      <w:r w:rsidR="0049439B" w:rsidRPr="00177E73">
        <w:rPr>
          <w:lang w:val="en-US"/>
        </w:rPr>
        <w:t xml:space="preserve">are </w:t>
      </w:r>
      <w:r w:rsidR="003B3584">
        <w:rPr>
          <w:lang w:val="en-US"/>
        </w:rPr>
        <w:t xml:space="preserve">a </w:t>
      </w:r>
      <w:r w:rsidR="004C3AB3" w:rsidRPr="00177E73">
        <w:rPr>
          <w:lang w:val="en-US"/>
        </w:rPr>
        <w:t xml:space="preserve">good proxy for </w:t>
      </w:r>
      <w:r w:rsidR="00743109" w:rsidRPr="00177E73">
        <w:rPr>
          <w:lang w:val="en-US"/>
        </w:rPr>
        <w:t>firm</w:t>
      </w:r>
      <w:r w:rsidR="003B3584">
        <w:rPr>
          <w:lang w:val="en-US"/>
        </w:rPr>
        <w:t>s’</w:t>
      </w:r>
      <w:r w:rsidR="00743109" w:rsidRPr="00177E73">
        <w:rPr>
          <w:lang w:val="en-US"/>
        </w:rPr>
        <w:t xml:space="preserve"> </w:t>
      </w:r>
      <w:r w:rsidR="004C3AB3" w:rsidRPr="00177E73">
        <w:rPr>
          <w:lang w:val="en-US"/>
        </w:rPr>
        <w:t>productivity</w:t>
      </w:r>
      <w:r w:rsidR="0049439B" w:rsidRPr="00177E73">
        <w:rPr>
          <w:lang w:val="en-US"/>
        </w:rPr>
        <w:t xml:space="preserve"> level</w:t>
      </w:r>
      <w:r w:rsidR="004C3AB3" w:rsidRPr="00177E73">
        <w:rPr>
          <w:lang w:val="en-US"/>
        </w:rPr>
        <w:t xml:space="preserve"> and, if not, estimat</w:t>
      </w:r>
      <w:r w:rsidR="0049439B" w:rsidRPr="00177E73">
        <w:rPr>
          <w:lang w:val="en-US"/>
        </w:rPr>
        <w:t>ing</w:t>
      </w:r>
      <w:r w:rsidR="004C3AB3" w:rsidRPr="00177E73">
        <w:rPr>
          <w:lang w:val="en-US"/>
        </w:rPr>
        <w:t xml:space="preserve"> the gap bet</w:t>
      </w:r>
      <w:r w:rsidR="00743109" w:rsidRPr="00177E73">
        <w:rPr>
          <w:lang w:val="en-US"/>
        </w:rPr>
        <w:t>ween these two variables. This approach is</w:t>
      </w:r>
      <w:r w:rsidR="004C3AB3" w:rsidRPr="00177E73">
        <w:rPr>
          <w:lang w:val="en-US"/>
        </w:rPr>
        <w:t xml:space="preserve"> complement</w:t>
      </w:r>
      <w:r w:rsidR="00743109" w:rsidRPr="00177E73">
        <w:rPr>
          <w:lang w:val="en-US"/>
        </w:rPr>
        <w:t>ary to</w:t>
      </w:r>
      <w:r w:rsidR="004C3AB3" w:rsidRPr="00177E73">
        <w:rPr>
          <w:lang w:val="en-US"/>
        </w:rPr>
        <w:t xml:space="preserve"> the literature </w:t>
      </w:r>
      <w:r w:rsidR="003B3584">
        <w:rPr>
          <w:lang w:val="en-US"/>
        </w:rPr>
        <w:t xml:space="preserve">that analyzes </w:t>
      </w:r>
      <w:r w:rsidR="004C3AB3" w:rsidRPr="00177E73">
        <w:rPr>
          <w:lang w:val="en-US"/>
        </w:rPr>
        <w:t>growth of wage</w:t>
      </w:r>
      <w:r w:rsidR="003B3584">
        <w:rPr>
          <w:lang w:val="en-US"/>
        </w:rPr>
        <w:t>s</w:t>
      </w:r>
      <w:r w:rsidR="004C3AB3" w:rsidRPr="00177E73">
        <w:rPr>
          <w:lang w:val="en-US"/>
        </w:rPr>
        <w:t xml:space="preserve"> and manufacturing productivity at</w:t>
      </w:r>
      <w:r w:rsidR="003B3584">
        <w:rPr>
          <w:lang w:val="en-US"/>
        </w:rPr>
        <w:t xml:space="preserve"> the</w:t>
      </w:r>
      <w:r w:rsidR="004C3AB3" w:rsidRPr="00177E73">
        <w:rPr>
          <w:lang w:val="en-US"/>
        </w:rPr>
        <w:t xml:space="preserve"> sector</w:t>
      </w:r>
      <w:r w:rsidR="003B3584">
        <w:rPr>
          <w:lang w:val="en-US"/>
        </w:rPr>
        <w:t>ial</w:t>
      </w:r>
      <w:r w:rsidR="004C3AB3" w:rsidRPr="00177E73">
        <w:rPr>
          <w:lang w:val="en-US"/>
        </w:rPr>
        <w:t xml:space="preserve"> level, because it allows to establish a relationship between both variables without reducing the heterogeneity of productivity and wages to sector</w:t>
      </w:r>
      <w:r w:rsidR="003B3584">
        <w:rPr>
          <w:lang w:val="en-US"/>
        </w:rPr>
        <w:t>i</w:t>
      </w:r>
      <w:r w:rsidR="004C3AB3" w:rsidRPr="00177E73">
        <w:rPr>
          <w:lang w:val="en-US"/>
        </w:rPr>
        <w:t>al averages.</w:t>
      </w:r>
      <w:r w:rsidR="004C3AB3" w:rsidRPr="00226207">
        <w:rPr>
          <w:lang w:val="en-US"/>
        </w:rPr>
        <w:t xml:space="preserve">  </w:t>
      </w:r>
      <w:r w:rsidR="00AF27E0" w:rsidRPr="00226207">
        <w:rPr>
          <w:lang w:val="en-US"/>
        </w:rPr>
        <w:t xml:space="preserve">  </w:t>
      </w:r>
    </w:p>
    <w:p w14:paraId="252AF5D8" w14:textId="41F4E0FE" w:rsidR="008B4339" w:rsidRPr="00226207" w:rsidRDefault="008B4339" w:rsidP="0081639E">
      <w:pPr>
        <w:rPr>
          <w:lang w:val="en-US"/>
        </w:rPr>
      </w:pPr>
      <w:r w:rsidRPr="00177E73">
        <w:rPr>
          <w:lang w:val="en-US"/>
        </w:rPr>
        <w:t xml:space="preserve">The second objective is to </w:t>
      </w:r>
      <w:r w:rsidR="00D26A48" w:rsidRPr="00177E73">
        <w:rPr>
          <w:lang w:val="en-US"/>
        </w:rPr>
        <w:t>analyze</w:t>
      </w:r>
      <w:r w:rsidRPr="00177E73">
        <w:rPr>
          <w:lang w:val="en-US"/>
        </w:rPr>
        <w:t xml:space="preserve"> the factors that mediate the relationship between productivity and wages. Thus, we consider two industry factors -</w:t>
      </w:r>
      <w:r w:rsidR="00226207" w:rsidRPr="00177E73">
        <w:rPr>
          <w:lang w:val="en-US"/>
        </w:rPr>
        <w:t xml:space="preserve">R&amp;D intensity and </w:t>
      </w:r>
      <w:r w:rsidRPr="00177E73">
        <w:rPr>
          <w:lang w:val="en-US"/>
        </w:rPr>
        <w:t xml:space="preserve">salary </w:t>
      </w:r>
      <w:r w:rsidR="005858A6" w:rsidRPr="00177E73">
        <w:rPr>
          <w:lang w:val="en-US"/>
        </w:rPr>
        <w:t>bargaining</w:t>
      </w:r>
      <w:r w:rsidRPr="00177E73">
        <w:rPr>
          <w:lang w:val="en-US"/>
        </w:rPr>
        <w:t xml:space="preserve"> agreements- that potentially contribute to improve the relationship between wages and </w:t>
      </w:r>
      <w:r w:rsidRPr="00177E73">
        <w:rPr>
          <w:lang w:val="en-US"/>
        </w:rPr>
        <w:lastRenderedPageBreak/>
        <w:t xml:space="preserve">productivity –that is, </w:t>
      </w:r>
      <w:r w:rsidR="00A81071">
        <w:rPr>
          <w:lang w:val="en-US"/>
        </w:rPr>
        <w:t xml:space="preserve">to </w:t>
      </w:r>
      <w:r w:rsidRPr="00177E73">
        <w:rPr>
          <w:lang w:val="en-US"/>
        </w:rPr>
        <w:t xml:space="preserve">close the gap between them-. </w:t>
      </w:r>
      <w:r w:rsidR="00226207" w:rsidRPr="00177E73">
        <w:rPr>
          <w:lang w:val="en-US"/>
        </w:rPr>
        <w:t xml:space="preserve">In the first case, we explore the idea about the positive impact of the structural change process over </w:t>
      </w:r>
      <w:r w:rsidR="00226207" w:rsidRPr="00557280">
        <w:rPr>
          <w:lang w:val="en-US"/>
        </w:rPr>
        <w:t>wages</w:t>
      </w:r>
      <w:r w:rsidR="002E4AFA" w:rsidRPr="00557280">
        <w:rPr>
          <w:lang w:val="en-US"/>
        </w:rPr>
        <w:t xml:space="preserve"> </w:t>
      </w:r>
      <w:r w:rsidR="002E4AFA" w:rsidRPr="00276AB3">
        <w:rPr>
          <w:lang w:val="en-US"/>
        </w:rPr>
        <w:t>(</w:t>
      </w:r>
      <w:proofErr w:type="spellStart"/>
      <w:r w:rsidR="00FD3A58" w:rsidRPr="00276AB3">
        <w:rPr>
          <w:lang w:val="en-US"/>
        </w:rPr>
        <w:t>Cepal</w:t>
      </w:r>
      <w:proofErr w:type="spellEnd"/>
      <w:r w:rsidR="00FD3A58" w:rsidRPr="00276AB3">
        <w:rPr>
          <w:lang w:val="en-US"/>
        </w:rPr>
        <w:t>, 2012</w:t>
      </w:r>
      <w:r w:rsidR="002E4AFA" w:rsidRPr="00276AB3">
        <w:rPr>
          <w:lang w:val="en-US"/>
        </w:rPr>
        <w:t>)</w:t>
      </w:r>
      <w:r w:rsidR="00226207" w:rsidRPr="00557280">
        <w:rPr>
          <w:lang w:val="en-US"/>
        </w:rPr>
        <w:t>.</w:t>
      </w:r>
      <w:r w:rsidR="00226207" w:rsidRPr="00177E73">
        <w:rPr>
          <w:lang w:val="en-US"/>
        </w:rPr>
        <w:t xml:space="preserve"> </w:t>
      </w:r>
      <w:r w:rsidR="005858A6" w:rsidRPr="00177E73">
        <w:rPr>
          <w:lang w:val="en-US"/>
        </w:rPr>
        <w:t xml:space="preserve">In the </w:t>
      </w:r>
      <w:r w:rsidR="00226207" w:rsidRPr="00177E73">
        <w:rPr>
          <w:lang w:val="en-US"/>
        </w:rPr>
        <w:t xml:space="preserve">second </w:t>
      </w:r>
      <w:r w:rsidR="005858A6" w:rsidRPr="00177E73">
        <w:rPr>
          <w:lang w:val="en-US"/>
        </w:rPr>
        <w:t>case, we</w:t>
      </w:r>
      <w:r w:rsidR="001E006E" w:rsidRPr="00177E73">
        <w:rPr>
          <w:lang w:val="en-US"/>
        </w:rPr>
        <w:t xml:space="preserve"> attempt</w:t>
      </w:r>
      <w:r w:rsidR="005858A6" w:rsidRPr="00177E73">
        <w:rPr>
          <w:lang w:val="en-US"/>
        </w:rPr>
        <w:t xml:space="preserve"> to answer if the sectors that achieved high</w:t>
      </w:r>
      <w:r w:rsidR="00A81071">
        <w:rPr>
          <w:lang w:val="en-US"/>
        </w:rPr>
        <w:t>er</w:t>
      </w:r>
      <w:r w:rsidR="005858A6" w:rsidRPr="00177E73">
        <w:rPr>
          <w:lang w:val="en-US"/>
        </w:rPr>
        <w:t xml:space="preserve"> increase</w:t>
      </w:r>
      <w:r w:rsidR="00A81071">
        <w:rPr>
          <w:lang w:val="en-US"/>
        </w:rPr>
        <w:t>s</w:t>
      </w:r>
      <w:r w:rsidR="005858A6" w:rsidRPr="00177E73">
        <w:rPr>
          <w:lang w:val="en-US"/>
        </w:rPr>
        <w:t xml:space="preserve"> in its wages</w:t>
      </w:r>
      <w:r w:rsidR="002E4AFA">
        <w:rPr>
          <w:lang w:val="en-US"/>
        </w:rPr>
        <w:t xml:space="preserve"> throw collective bargain</w:t>
      </w:r>
      <w:r w:rsidR="005858A6" w:rsidRPr="00177E73">
        <w:rPr>
          <w:lang w:val="en-US"/>
        </w:rPr>
        <w:t xml:space="preserve"> show </w:t>
      </w:r>
      <w:r w:rsidR="00A81071">
        <w:rPr>
          <w:lang w:val="en-US"/>
        </w:rPr>
        <w:t xml:space="preserve">a </w:t>
      </w:r>
      <w:r w:rsidR="005858A6" w:rsidRPr="00177E73">
        <w:rPr>
          <w:lang w:val="en-US"/>
        </w:rPr>
        <w:t>small</w:t>
      </w:r>
      <w:r w:rsidR="00A81071">
        <w:rPr>
          <w:lang w:val="en-US"/>
        </w:rPr>
        <w:t>er</w:t>
      </w:r>
      <w:r w:rsidR="005858A6" w:rsidRPr="00177E73">
        <w:rPr>
          <w:lang w:val="en-US"/>
        </w:rPr>
        <w:t xml:space="preserve"> gap between productivity and wage</w:t>
      </w:r>
      <w:r w:rsidR="002E4AFA">
        <w:rPr>
          <w:lang w:val="en-US"/>
        </w:rPr>
        <w:t xml:space="preserve"> </w:t>
      </w:r>
      <w:r w:rsidR="0032040A" w:rsidRPr="00133F06">
        <w:rPr>
          <w:lang w:val="en-US"/>
        </w:rPr>
        <w:t xml:space="preserve">(Freeman and </w:t>
      </w:r>
      <w:proofErr w:type="spellStart"/>
      <w:r w:rsidR="0032040A" w:rsidRPr="00133F06">
        <w:rPr>
          <w:lang w:val="en-US"/>
        </w:rPr>
        <w:t>Medoff</w:t>
      </w:r>
      <w:proofErr w:type="spellEnd"/>
      <w:r w:rsidR="0032040A" w:rsidRPr="00133F06">
        <w:rPr>
          <w:lang w:val="en-US"/>
        </w:rPr>
        <w:t>, 1984)</w:t>
      </w:r>
      <w:r w:rsidR="00A81071">
        <w:rPr>
          <w:lang w:val="en-US"/>
        </w:rPr>
        <w:t xml:space="preserve"> than the rest</w:t>
      </w:r>
      <w:r w:rsidR="005858A6" w:rsidRPr="00177E73">
        <w:rPr>
          <w:lang w:val="en-US"/>
        </w:rPr>
        <w:t xml:space="preserve">. </w:t>
      </w:r>
    </w:p>
    <w:p w14:paraId="7C262047" w14:textId="4EAB9FA5" w:rsidR="00981C9C" w:rsidRPr="00226207" w:rsidRDefault="00A77AB6" w:rsidP="00A77AB6">
      <w:pPr>
        <w:rPr>
          <w:lang w:val="en-US"/>
        </w:rPr>
      </w:pPr>
      <w:r>
        <w:rPr>
          <w:lang w:val="en-US"/>
        </w:rPr>
        <w:t>F</w:t>
      </w:r>
      <w:r w:rsidR="001E006E" w:rsidRPr="00557280">
        <w:rPr>
          <w:lang w:val="en-US"/>
        </w:rPr>
        <w:t>ollowing</w:t>
      </w:r>
      <w:r w:rsidR="00A81071" w:rsidRPr="00557280">
        <w:rPr>
          <w:lang w:val="en-US"/>
        </w:rPr>
        <w:t xml:space="preserve"> </w:t>
      </w:r>
      <w:r w:rsidR="001E006E" w:rsidRPr="00276AB3">
        <w:rPr>
          <w:lang w:val="en-US"/>
        </w:rPr>
        <w:t xml:space="preserve">Conti (2005) and </w:t>
      </w:r>
      <w:proofErr w:type="spellStart"/>
      <w:r w:rsidR="001E006E" w:rsidRPr="00276AB3">
        <w:rPr>
          <w:lang w:val="en-US"/>
        </w:rPr>
        <w:t>Dearden</w:t>
      </w:r>
      <w:proofErr w:type="spellEnd"/>
      <w:r w:rsidR="001E006E" w:rsidRPr="00276AB3">
        <w:rPr>
          <w:lang w:val="en-US"/>
        </w:rPr>
        <w:t xml:space="preserve"> et al (2006)</w:t>
      </w:r>
      <w:r w:rsidR="001E006E" w:rsidRPr="00557280">
        <w:rPr>
          <w:lang w:val="en-US"/>
        </w:rPr>
        <w:t>, we estimate</w:t>
      </w:r>
      <w:r w:rsidR="001E006E" w:rsidRPr="00177E73">
        <w:rPr>
          <w:lang w:val="en-US"/>
        </w:rPr>
        <w:t xml:space="preserve"> the relationship between wages and productivity </w:t>
      </w:r>
      <w:r w:rsidR="00A81071">
        <w:rPr>
          <w:lang w:val="en-US"/>
        </w:rPr>
        <w:t>by means of</w:t>
      </w:r>
      <w:r w:rsidR="00A81071" w:rsidRPr="00177E73">
        <w:rPr>
          <w:lang w:val="en-US"/>
        </w:rPr>
        <w:t xml:space="preserve"> </w:t>
      </w:r>
      <w:r w:rsidR="001E006E" w:rsidRPr="00177E73">
        <w:rPr>
          <w:lang w:val="en-US"/>
        </w:rPr>
        <w:t>study</w:t>
      </w:r>
      <w:r w:rsidR="002916A8" w:rsidRPr="00177E73">
        <w:rPr>
          <w:lang w:val="en-US"/>
        </w:rPr>
        <w:t>ing</w:t>
      </w:r>
      <w:r w:rsidR="001E006E" w:rsidRPr="00177E73">
        <w:rPr>
          <w:lang w:val="en-US"/>
        </w:rPr>
        <w:t xml:space="preserve"> the impact </w:t>
      </w:r>
      <w:r w:rsidR="00A81071">
        <w:rPr>
          <w:lang w:val="en-US"/>
        </w:rPr>
        <w:t>of</w:t>
      </w:r>
      <w:r w:rsidR="001E006E" w:rsidRPr="00177E73">
        <w:rPr>
          <w:lang w:val="en-US"/>
        </w:rPr>
        <w:t xml:space="preserve"> a third variable –</w:t>
      </w:r>
      <w:r w:rsidR="00A81071">
        <w:rPr>
          <w:lang w:val="en-US"/>
        </w:rPr>
        <w:t xml:space="preserve"> </w:t>
      </w:r>
      <w:r w:rsidR="001E006E" w:rsidRPr="00177E73">
        <w:rPr>
          <w:lang w:val="en-US"/>
        </w:rPr>
        <w:t>training- over them. According to the</w:t>
      </w:r>
      <w:r w:rsidR="00A81071">
        <w:rPr>
          <w:lang w:val="en-US"/>
        </w:rPr>
        <w:t>se</w:t>
      </w:r>
      <w:r w:rsidR="001E006E" w:rsidRPr="00177E73">
        <w:rPr>
          <w:lang w:val="en-US"/>
        </w:rPr>
        <w:t xml:space="preserve"> authors, when the impact of training is higher on productivity than</w:t>
      </w:r>
      <w:r w:rsidR="00A81071">
        <w:rPr>
          <w:lang w:val="en-US"/>
        </w:rPr>
        <w:t xml:space="preserve"> on</w:t>
      </w:r>
      <w:r w:rsidR="001E006E" w:rsidRPr="00177E73">
        <w:rPr>
          <w:lang w:val="en-US"/>
        </w:rPr>
        <w:t xml:space="preserve"> wages, then there is a gap between them</w:t>
      </w:r>
      <w:r w:rsidR="00A81071">
        <w:rPr>
          <w:lang w:val="en-US"/>
        </w:rPr>
        <w:t>, usually referred as the productivity-wage ga</w:t>
      </w:r>
      <w:r>
        <w:rPr>
          <w:lang w:val="en-US"/>
        </w:rPr>
        <w:t>p</w:t>
      </w:r>
      <w:r w:rsidR="00A81071">
        <w:rPr>
          <w:lang w:val="en-US"/>
        </w:rPr>
        <w:t xml:space="preserve">, which implies that </w:t>
      </w:r>
      <w:r w:rsidR="001E006E" w:rsidRPr="00177E73">
        <w:rPr>
          <w:lang w:val="en-US"/>
        </w:rPr>
        <w:t>the productivity benefits of training are not totally translate</w:t>
      </w:r>
      <w:r w:rsidR="00A81071">
        <w:rPr>
          <w:lang w:val="en-US"/>
        </w:rPr>
        <w:t>d</w:t>
      </w:r>
      <w:r w:rsidR="001E006E" w:rsidRPr="00177E73">
        <w:rPr>
          <w:lang w:val="en-US"/>
        </w:rPr>
        <w:t xml:space="preserve"> </w:t>
      </w:r>
      <w:r w:rsidR="00A81071">
        <w:rPr>
          <w:lang w:val="en-US"/>
        </w:rPr>
        <w:t>in</w:t>
      </w:r>
      <w:r w:rsidR="001E006E" w:rsidRPr="00177E73">
        <w:rPr>
          <w:lang w:val="en-US"/>
        </w:rPr>
        <w:t>to wages.</w:t>
      </w:r>
      <w:r w:rsidR="00A81071">
        <w:rPr>
          <w:lang w:val="en-US"/>
        </w:rPr>
        <w:t xml:space="preserve"> </w:t>
      </w:r>
      <w:r>
        <w:rPr>
          <w:lang w:val="en-US"/>
        </w:rPr>
        <w:t>W</w:t>
      </w:r>
      <w:r w:rsidR="00981C9C" w:rsidRPr="00177E73">
        <w:rPr>
          <w:lang w:val="en-US"/>
        </w:rPr>
        <w:t>e use</w:t>
      </w:r>
      <w:r w:rsidR="001B45C7">
        <w:rPr>
          <w:lang w:val="en-US"/>
        </w:rPr>
        <w:t xml:space="preserve"> two econometric methods -</w:t>
      </w:r>
      <w:r w:rsidR="00981C9C" w:rsidRPr="00177E73">
        <w:rPr>
          <w:lang w:val="en-US"/>
        </w:rPr>
        <w:t xml:space="preserve">propensity score matching </w:t>
      </w:r>
      <w:r w:rsidR="001B45C7">
        <w:rPr>
          <w:lang w:val="en-US"/>
        </w:rPr>
        <w:t>and doubly</w:t>
      </w:r>
      <w:r w:rsidR="00893C03">
        <w:rPr>
          <w:lang w:val="en-US"/>
        </w:rPr>
        <w:t>-</w:t>
      </w:r>
      <w:r w:rsidR="001B45C7">
        <w:rPr>
          <w:lang w:val="en-US"/>
        </w:rPr>
        <w:t>robust estimat</w:t>
      </w:r>
      <w:r w:rsidR="00893C03">
        <w:rPr>
          <w:lang w:val="en-US"/>
        </w:rPr>
        <w:t>ors</w:t>
      </w:r>
      <w:r w:rsidR="001B45C7">
        <w:rPr>
          <w:lang w:val="en-US"/>
        </w:rPr>
        <w:t>-</w:t>
      </w:r>
      <w:r w:rsidR="001B45C7" w:rsidRPr="00177E73">
        <w:rPr>
          <w:lang w:val="en-US"/>
        </w:rPr>
        <w:t xml:space="preserve"> </w:t>
      </w:r>
      <w:r w:rsidR="00981C9C" w:rsidRPr="00177E73">
        <w:rPr>
          <w:lang w:val="en-US"/>
        </w:rPr>
        <w:t>to analyze the effects of training</w:t>
      </w:r>
      <w:r w:rsidR="00DC42ED" w:rsidRPr="00177E73">
        <w:rPr>
          <w:lang w:val="en-US"/>
        </w:rPr>
        <w:t xml:space="preserve"> activities </w:t>
      </w:r>
      <w:r w:rsidR="00A81071">
        <w:rPr>
          <w:lang w:val="en-US"/>
        </w:rPr>
        <w:t>during</w:t>
      </w:r>
      <w:r w:rsidR="00DC42ED" w:rsidRPr="00177E73">
        <w:rPr>
          <w:lang w:val="en-US"/>
        </w:rPr>
        <w:t xml:space="preserve"> 2006-2008 over firms</w:t>
      </w:r>
      <w:r w:rsidR="00226207" w:rsidRPr="00177E73">
        <w:rPr>
          <w:lang w:val="en-US"/>
        </w:rPr>
        <w:t>’</w:t>
      </w:r>
      <w:r w:rsidR="00DC42ED" w:rsidRPr="00177E73">
        <w:rPr>
          <w:lang w:val="en-US"/>
        </w:rPr>
        <w:t xml:space="preserve"> productivity levels and wages for 2008.</w:t>
      </w:r>
      <w:r w:rsidR="00981C9C" w:rsidRPr="00226207">
        <w:rPr>
          <w:lang w:val="en-US"/>
        </w:rPr>
        <w:t xml:space="preserve"> </w:t>
      </w:r>
    </w:p>
    <w:p w14:paraId="5DB14890" w14:textId="77777777" w:rsidR="00DC42ED" w:rsidRPr="00DC42ED" w:rsidRDefault="00A81071" w:rsidP="0081639E">
      <w:pPr>
        <w:rPr>
          <w:lang w:val="en-US"/>
        </w:rPr>
      </w:pPr>
      <w:r>
        <w:rPr>
          <w:lang w:val="en-US"/>
        </w:rPr>
        <w:t xml:space="preserve">The remainder of this paper is as follows. </w:t>
      </w:r>
      <w:r w:rsidR="00DC42ED" w:rsidRPr="00177E73">
        <w:rPr>
          <w:lang w:val="en-US"/>
        </w:rPr>
        <w:t xml:space="preserve">The following section </w:t>
      </w:r>
      <w:r>
        <w:rPr>
          <w:lang w:val="en-US"/>
        </w:rPr>
        <w:t xml:space="preserve">discusses </w:t>
      </w:r>
      <w:r w:rsidR="00DC42ED" w:rsidRPr="00177E73">
        <w:rPr>
          <w:lang w:val="en-US"/>
        </w:rPr>
        <w:t>the literature about productivity and wages and the hypotheses. Section 2 describes the data. In Section 3 we explain the methodology and the estimation procedures. Section 4 presents the discussion of the results. Finally, concluding remarks are present in Section 5.</w:t>
      </w:r>
      <w:r w:rsidR="00DC42ED">
        <w:rPr>
          <w:lang w:val="en-US"/>
        </w:rPr>
        <w:t xml:space="preserve"> </w:t>
      </w:r>
    </w:p>
    <w:p w14:paraId="7539B76B" w14:textId="77777777" w:rsidR="00414EEA" w:rsidRDefault="00414EEA" w:rsidP="006F2141">
      <w:pPr>
        <w:rPr>
          <w:lang w:val="en-US"/>
        </w:rPr>
      </w:pPr>
    </w:p>
    <w:p w14:paraId="423E6E6B" w14:textId="77777777" w:rsidR="00414EEA" w:rsidRPr="00016AA6" w:rsidRDefault="006F27F3" w:rsidP="00414EEA">
      <w:pPr>
        <w:pStyle w:val="Ttulo2"/>
        <w:rPr>
          <w:rFonts w:ascii="Garamond" w:hAnsi="Garamond"/>
          <w:b/>
          <w:color w:val="auto"/>
          <w:lang w:val="en-US"/>
        </w:rPr>
      </w:pPr>
      <w:r w:rsidRPr="00016AA6">
        <w:rPr>
          <w:rFonts w:ascii="Garamond" w:hAnsi="Garamond"/>
          <w:b/>
          <w:color w:val="auto"/>
          <w:lang w:val="en-US"/>
        </w:rPr>
        <w:t>1. Background and hypotheses</w:t>
      </w:r>
    </w:p>
    <w:p w14:paraId="701EE419" w14:textId="77777777" w:rsidR="00414EEA" w:rsidRPr="00CD54EB" w:rsidRDefault="00414EEA" w:rsidP="00414EEA">
      <w:pPr>
        <w:rPr>
          <w:lang w:val="en-US"/>
        </w:rPr>
      </w:pPr>
    </w:p>
    <w:p w14:paraId="6C217C21" w14:textId="77777777" w:rsidR="00414EEA" w:rsidRPr="004F5480" w:rsidRDefault="00414EEA" w:rsidP="00414EEA">
      <w:pPr>
        <w:rPr>
          <w:lang w:val="en-US"/>
        </w:rPr>
      </w:pPr>
      <w:r w:rsidRPr="00CD54EB">
        <w:rPr>
          <w:lang w:val="en-US"/>
        </w:rPr>
        <w:t>Economic theory has extensively researched the issues of productivity and it growth. They were studied both theoretically -by the theory of economic growth and human capital- and empirically, through longitudinal studies referring to the measuring of growth, and cross-sectional works, related to gaps and structural change.</w:t>
      </w:r>
    </w:p>
    <w:p w14:paraId="5BA3F14D" w14:textId="77777777" w:rsidR="00414EEA" w:rsidRDefault="00414EEA" w:rsidP="00414EEA">
      <w:pPr>
        <w:rPr>
          <w:lang w:val="en-US"/>
        </w:rPr>
      </w:pPr>
      <w:r w:rsidRPr="00CD54EB">
        <w:rPr>
          <w:lang w:val="en-US"/>
        </w:rPr>
        <w:t>However, the recent expansion of micro- databases has increased the interest of researchers in studying productivity at the firm level. This new longitudinal databases have led to study productivity at the firm level and analyze the impact of the idiosyncratic characteristics of firms on its performance levels. Moreover, the availability of firm-level data have challenged a set of basic assumptions of the mainstream economics and this has led to rethink much of the theory of the firm, markets and even the form of aggregated macroeconomic variables are constructed.</w:t>
      </w:r>
    </w:p>
    <w:p w14:paraId="3B6D05CB" w14:textId="27A052FE" w:rsidR="00414EEA" w:rsidRPr="00BC7394" w:rsidRDefault="00414EEA" w:rsidP="00414EEA">
      <w:pPr>
        <w:rPr>
          <w:lang w:val="en-US"/>
        </w:rPr>
      </w:pPr>
      <w:r w:rsidRPr="00CD54EB">
        <w:rPr>
          <w:lang w:val="en-US"/>
        </w:rPr>
        <w:t xml:space="preserve">The most conclusive </w:t>
      </w:r>
      <w:r w:rsidRPr="0035797B">
        <w:rPr>
          <w:lang w:val="en-US"/>
        </w:rPr>
        <w:t xml:space="preserve">and irrefutable evidence refers to the existence of large heterogeneity in the productivity levels of firms (Nelson, 1981; </w:t>
      </w:r>
      <w:proofErr w:type="spellStart"/>
      <w:r w:rsidRPr="0035797B">
        <w:rPr>
          <w:lang w:val="en-US"/>
        </w:rPr>
        <w:t>Bartelsman</w:t>
      </w:r>
      <w:proofErr w:type="spellEnd"/>
      <w:r w:rsidRPr="0035797B">
        <w:rPr>
          <w:lang w:val="en-US"/>
        </w:rPr>
        <w:t xml:space="preserve"> and </w:t>
      </w:r>
      <w:proofErr w:type="spellStart"/>
      <w:r w:rsidRPr="0035797B">
        <w:rPr>
          <w:lang w:val="en-US"/>
        </w:rPr>
        <w:t>Doms</w:t>
      </w:r>
      <w:proofErr w:type="spellEnd"/>
      <w:r w:rsidRPr="0035797B">
        <w:rPr>
          <w:lang w:val="en-US"/>
        </w:rPr>
        <w:t xml:space="preserve">, 2000; </w:t>
      </w:r>
      <w:proofErr w:type="spellStart"/>
      <w:r w:rsidRPr="0035797B">
        <w:rPr>
          <w:lang w:val="en-US"/>
        </w:rPr>
        <w:t>Syverso</w:t>
      </w:r>
      <w:r w:rsidR="009F516F">
        <w:rPr>
          <w:lang w:val="en-US"/>
        </w:rPr>
        <w:t>n</w:t>
      </w:r>
      <w:proofErr w:type="spellEnd"/>
      <w:r w:rsidR="009F516F">
        <w:rPr>
          <w:lang w:val="en-US"/>
        </w:rPr>
        <w:t xml:space="preserve"> 2011; </w:t>
      </w:r>
      <w:proofErr w:type="spellStart"/>
      <w:r w:rsidR="009F516F">
        <w:rPr>
          <w:lang w:val="en-US"/>
        </w:rPr>
        <w:t>Haltiwanger</w:t>
      </w:r>
      <w:proofErr w:type="spellEnd"/>
      <w:r w:rsidR="009F516F">
        <w:rPr>
          <w:lang w:val="en-US"/>
        </w:rPr>
        <w:t xml:space="preserve"> et al, 2007</w:t>
      </w:r>
      <w:r w:rsidRPr="0035797B">
        <w:rPr>
          <w:lang w:val="en-US"/>
        </w:rPr>
        <w:t xml:space="preserve">, </w:t>
      </w:r>
      <w:proofErr w:type="spellStart"/>
      <w:r w:rsidRPr="0035797B">
        <w:rPr>
          <w:lang w:val="en-US"/>
        </w:rPr>
        <w:t>Dosi</w:t>
      </w:r>
      <w:proofErr w:type="spellEnd"/>
      <w:r w:rsidRPr="0035797B">
        <w:rPr>
          <w:lang w:val="en-US"/>
        </w:rPr>
        <w:t xml:space="preserve"> et al, 2010 ; </w:t>
      </w:r>
      <w:proofErr w:type="spellStart"/>
      <w:r w:rsidRPr="0035797B">
        <w:rPr>
          <w:lang w:val="en-US"/>
        </w:rPr>
        <w:t>Bottazzi</w:t>
      </w:r>
      <w:proofErr w:type="spellEnd"/>
      <w:r w:rsidRPr="0035797B">
        <w:rPr>
          <w:lang w:val="en-US"/>
        </w:rPr>
        <w:t xml:space="preserve"> et al 2010). This</w:t>
      </w:r>
      <w:r w:rsidRPr="00CD54EB">
        <w:rPr>
          <w:lang w:val="en-US"/>
        </w:rPr>
        <w:t xml:space="preserve"> heterogeneity is present among firms from different sectors and geographical locations but also within them. In this respect, numerous studies have documented a high variability in the productivity of firms within sectors with a high degree of disaggregation –four - digit standard classifications. The literature has also explored the existence of heterogeneity in wage levels, not only among </w:t>
      </w:r>
      <w:r w:rsidRPr="0035797B">
        <w:rPr>
          <w:lang w:val="en-US"/>
        </w:rPr>
        <w:t>sectors but also between firms from the same sector (</w:t>
      </w:r>
      <w:proofErr w:type="spellStart"/>
      <w:r w:rsidRPr="0035797B">
        <w:rPr>
          <w:lang w:val="en-US"/>
        </w:rPr>
        <w:t>Haltiwanger</w:t>
      </w:r>
      <w:proofErr w:type="spellEnd"/>
      <w:r w:rsidRPr="0035797B">
        <w:rPr>
          <w:lang w:val="en-US"/>
        </w:rPr>
        <w:t xml:space="preserve"> et al., 2000). In this context,</w:t>
      </w:r>
      <w:r w:rsidRPr="00CD54EB">
        <w:rPr>
          <w:lang w:val="en-US"/>
        </w:rPr>
        <w:t xml:space="preserve"> the ideas of "representative firm" from a theoretical perspective, and "average firm" from a policy </w:t>
      </w:r>
      <w:r w:rsidRPr="00CD54EB">
        <w:rPr>
          <w:lang w:val="en-US"/>
        </w:rPr>
        <w:lastRenderedPageBreak/>
        <w:t>perspective, are in conflict with the new evidence provided by the micro-data and demand new conceptual approaches.</w:t>
      </w:r>
    </w:p>
    <w:p w14:paraId="60840905" w14:textId="36784BB9" w:rsidR="00414EEA" w:rsidRDefault="00414EEA" w:rsidP="00414EEA">
      <w:pPr>
        <w:rPr>
          <w:szCs w:val="24"/>
          <w:lang w:val="en-US"/>
        </w:rPr>
      </w:pPr>
      <w:r w:rsidRPr="00CD54EB">
        <w:rPr>
          <w:szCs w:val="24"/>
          <w:lang w:val="en-US"/>
        </w:rPr>
        <w:t>Within this context of heterogeneity, the relationship between productivity and wages has been extensively studied reaching a broad consensus on the positive and significant relationship between th</w:t>
      </w:r>
      <w:r w:rsidR="005467BE">
        <w:rPr>
          <w:szCs w:val="24"/>
          <w:lang w:val="en-US"/>
        </w:rPr>
        <w:t>is two</w:t>
      </w:r>
      <w:r w:rsidRPr="00CD54EB">
        <w:rPr>
          <w:szCs w:val="24"/>
          <w:lang w:val="en-US"/>
        </w:rPr>
        <w:t xml:space="preserve"> variables. However, how much of that </w:t>
      </w:r>
      <w:r w:rsidR="003C010F">
        <w:rPr>
          <w:szCs w:val="24"/>
          <w:lang w:val="en-US"/>
        </w:rPr>
        <w:t>higher</w:t>
      </w:r>
      <w:r w:rsidR="003C010F" w:rsidRPr="00CD54EB">
        <w:rPr>
          <w:szCs w:val="24"/>
          <w:lang w:val="en-US"/>
        </w:rPr>
        <w:t xml:space="preserve"> </w:t>
      </w:r>
      <w:r w:rsidRPr="00CD54EB">
        <w:rPr>
          <w:szCs w:val="24"/>
          <w:lang w:val="en-US"/>
        </w:rPr>
        <w:t>productivity</w:t>
      </w:r>
      <w:r w:rsidR="003C010F">
        <w:rPr>
          <w:szCs w:val="24"/>
          <w:lang w:val="en-US"/>
        </w:rPr>
        <w:t xml:space="preserve"> level</w:t>
      </w:r>
      <w:r w:rsidRPr="00CD54EB">
        <w:rPr>
          <w:szCs w:val="24"/>
          <w:lang w:val="en-US"/>
        </w:rPr>
        <w:t xml:space="preserve"> is appropriated by workers through their wages differ between firms and</w:t>
      </w:r>
      <w:r w:rsidR="00FB6E2F">
        <w:rPr>
          <w:szCs w:val="24"/>
          <w:lang w:val="en-US"/>
        </w:rPr>
        <w:t xml:space="preserve">, </w:t>
      </w:r>
      <w:r w:rsidRPr="00CD54EB">
        <w:rPr>
          <w:szCs w:val="24"/>
          <w:lang w:val="en-US"/>
        </w:rPr>
        <w:t xml:space="preserve">to a lesser degree, between workers within the same firm. For instance, using a </w:t>
      </w:r>
      <w:r w:rsidRPr="0035797B">
        <w:rPr>
          <w:szCs w:val="24"/>
          <w:lang w:val="en-US"/>
        </w:rPr>
        <w:t xml:space="preserve">panel data on UK firms over the 1984-2001 period, </w:t>
      </w:r>
      <w:proofErr w:type="spellStart"/>
      <w:r w:rsidRPr="0035797B">
        <w:rPr>
          <w:szCs w:val="24"/>
          <w:lang w:val="en-US"/>
        </w:rPr>
        <w:t>Faggio</w:t>
      </w:r>
      <w:proofErr w:type="spellEnd"/>
      <w:r w:rsidRPr="0035797B">
        <w:rPr>
          <w:szCs w:val="24"/>
          <w:lang w:val="en-US"/>
        </w:rPr>
        <w:t xml:space="preserve"> et al. (2007) find that wage</w:t>
      </w:r>
      <w:r w:rsidRPr="00CD54EB">
        <w:rPr>
          <w:szCs w:val="24"/>
          <w:lang w:val="en-US"/>
        </w:rPr>
        <w:t xml:space="preserve"> dispersion -the variance- is explained by approximately 60 % for the differences between firms, which in turn is largely explained by inter- firms differences within sectors. Thus, the idea of traditional economic theory that wages are equal to the product marginal value in a perfectly competitive market is unsustainable. Consequently, wages cannot be considered as a direct measure of productivity.</w:t>
      </w:r>
      <w:r w:rsidRPr="000D38E1">
        <w:rPr>
          <w:szCs w:val="24"/>
          <w:lang w:val="en-US"/>
        </w:rPr>
        <w:t xml:space="preserve"> </w:t>
      </w:r>
    </w:p>
    <w:p w14:paraId="445B0192" w14:textId="3FFDDB43" w:rsidR="00414EEA" w:rsidRPr="0019433D" w:rsidRDefault="00414EEA" w:rsidP="00414EEA">
      <w:pPr>
        <w:rPr>
          <w:szCs w:val="24"/>
          <w:lang w:val="en-US"/>
        </w:rPr>
      </w:pPr>
      <w:r w:rsidRPr="00CD54EB">
        <w:rPr>
          <w:szCs w:val="24"/>
          <w:lang w:val="en-US"/>
        </w:rPr>
        <w:t xml:space="preserve">Assuming that productivity and wages diverge, literature that study this relationship has been focused on the quantification of the gap between them and the explanation about how this gap varies according to the characteristics of workers and the environment, including the labor institutions. Methodologies used in the literature are </w:t>
      </w:r>
      <w:r w:rsidR="00470F5F">
        <w:rPr>
          <w:szCs w:val="24"/>
          <w:lang w:val="en-US"/>
        </w:rPr>
        <w:t>diverse</w:t>
      </w:r>
      <w:r w:rsidR="00470F5F" w:rsidRPr="00CD54EB">
        <w:rPr>
          <w:szCs w:val="24"/>
          <w:lang w:val="en-US"/>
        </w:rPr>
        <w:t xml:space="preserve"> </w:t>
      </w:r>
      <w:r w:rsidRPr="00CD54EB">
        <w:rPr>
          <w:szCs w:val="24"/>
          <w:lang w:val="en-US"/>
        </w:rPr>
        <w:t xml:space="preserve">and depend on the availability of information. Thus, studies that have longitudinal employer-employee databases estimate, on </w:t>
      </w:r>
      <w:r w:rsidRPr="0035797B">
        <w:rPr>
          <w:szCs w:val="24"/>
          <w:lang w:val="en-US"/>
        </w:rPr>
        <w:t>the one hand, wage equations (as Mincer, 1974) and, on the other, productivity equations</w:t>
      </w:r>
      <w:r w:rsidRPr="00CD54EB">
        <w:rPr>
          <w:szCs w:val="24"/>
          <w:lang w:val="en-US"/>
        </w:rPr>
        <w:t xml:space="preserve"> through production functions</w:t>
      </w:r>
      <w:r w:rsidR="009539A9">
        <w:rPr>
          <w:szCs w:val="24"/>
          <w:lang w:val="en-US"/>
        </w:rPr>
        <w:t>.</w:t>
      </w:r>
      <w:r w:rsidRPr="00CD54EB">
        <w:rPr>
          <w:szCs w:val="24"/>
          <w:lang w:val="en-US"/>
        </w:rPr>
        <w:t xml:space="preserve"> These papers find a positive relationship between productivity and wages, but also that this relationship is mediated by worker attributes that have differential impacts on individual wages and firm productivity.</w:t>
      </w:r>
    </w:p>
    <w:p w14:paraId="7258286F" w14:textId="08D17821" w:rsidR="00414EEA" w:rsidRPr="003A6BD8" w:rsidRDefault="00414EEA" w:rsidP="00414EEA">
      <w:pPr>
        <w:rPr>
          <w:szCs w:val="24"/>
          <w:lang w:val="en-US"/>
        </w:rPr>
      </w:pPr>
      <w:r w:rsidRPr="00CD54EB">
        <w:rPr>
          <w:szCs w:val="24"/>
          <w:lang w:val="en-US"/>
        </w:rPr>
        <w:t>Similarly, another set of studies show differences between wages and productivity from the differential impact of a third variable, which is usually training. They test the impact of training on wages and productivity firms. When the impact is greater on productivity than on wages, it becomes clear that firms appropriate the benefits of training without transfer them completely to wages.</w:t>
      </w:r>
      <w:r>
        <w:rPr>
          <w:szCs w:val="24"/>
          <w:lang w:val="en-US"/>
        </w:rPr>
        <w:t xml:space="preserve"> </w:t>
      </w:r>
      <w:proofErr w:type="spellStart"/>
      <w:r w:rsidRPr="00CD54EB">
        <w:rPr>
          <w:szCs w:val="24"/>
          <w:lang w:val="en-US"/>
        </w:rPr>
        <w:t>Dearden</w:t>
      </w:r>
      <w:proofErr w:type="spellEnd"/>
      <w:r w:rsidRPr="00CD54EB">
        <w:rPr>
          <w:szCs w:val="24"/>
          <w:lang w:val="en-US"/>
        </w:rPr>
        <w:t xml:space="preserve"> et al (2006) provide evidence that support this hypothesis for a panel of British industries between 1983 and 1996. They build a database combining information about workers (training) and firms (productivity and investment). Using General Method of Moments estimators, they show that raising the proportion of workers trained in an industry by one percentage point is associated with an increase in productivity of about 0.6% and an increase in wages of about 0.3%. This</w:t>
      </w:r>
      <w:r w:rsidR="00470F5F">
        <w:rPr>
          <w:szCs w:val="24"/>
          <w:lang w:val="en-US"/>
        </w:rPr>
        <w:t xml:space="preserve"> highlight</w:t>
      </w:r>
      <w:r w:rsidRPr="00CD54EB">
        <w:rPr>
          <w:szCs w:val="24"/>
          <w:lang w:val="en-US"/>
        </w:rPr>
        <w:t xml:space="preserve"> that using wages as a proxy for productivity is inappropriate because the impact of training is underestimated. Thus, articles using wages as the only measure to estimate productivity ignore the additional benefits that firms capture.</w:t>
      </w:r>
    </w:p>
    <w:p w14:paraId="3B1427D4" w14:textId="77777777" w:rsidR="00414EEA" w:rsidRPr="00F045D3" w:rsidRDefault="00414EEA" w:rsidP="00F927C9">
      <w:pPr>
        <w:autoSpaceDE w:val="0"/>
        <w:autoSpaceDN w:val="0"/>
        <w:adjustRightInd w:val="0"/>
        <w:rPr>
          <w:szCs w:val="24"/>
          <w:lang w:val="en-US"/>
        </w:rPr>
      </w:pPr>
      <w:r w:rsidRPr="0035797B">
        <w:rPr>
          <w:szCs w:val="24"/>
          <w:lang w:val="en-US"/>
        </w:rPr>
        <w:t>Conti (2005) also analyzes the impact of training on productivity and wage covering all sectors</w:t>
      </w:r>
      <w:r w:rsidRPr="00CD54EB">
        <w:rPr>
          <w:szCs w:val="24"/>
          <w:lang w:val="en-US"/>
        </w:rPr>
        <w:t xml:space="preserve"> of the Italian economy for the period 1996–1999. The empirical evidence is based on a dataset which combines individual-level data on training with firm-level data on productivity and wages. The empirical evidence shows that training significantly increases firm productivity. However, no such effect is found for wages. This gap between productivity and wage reveals the existence of labor market imperfections. In particular, the author points out that Italy has highly regulated the labor market, with a strong role of unions in wage bargaining and high hiring and firing costs. </w:t>
      </w:r>
      <w:r w:rsidRPr="00CD54EB">
        <w:rPr>
          <w:szCs w:val="24"/>
          <w:lang w:val="en-US"/>
        </w:rPr>
        <w:lastRenderedPageBreak/>
        <w:t>Thus, an increase in the stock of skilled workers on about 1% leads to an increase of 0.4% in productivity and 0.1% in wages</w:t>
      </w:r>
      <w:r w:rsidRPr="00B52E5C">
        <w:rPr>
          <w:rStyle w:val="Refdenotaalpie"/>
          <w:szCs w:val="24"/>
        </w:rPr>
        <w:footnoteReference w:id="1"/>
      </w:r>
      <w:r w:rsidRPr="00CD54EB">
        <w:rPr>
          <w:szCs w:val="24"/>
          <w:lang w:val="en-US"/>
        </w:rPr>
        <w:t>.</w:t>
      </w:r>
    </w:p>
    <w:p w14:paraId="77E497AC" w14:textId="45C6DDA0" w:rsidR="00414EEA" w:rsidRPr="00C4579F" w:rsidRDefault="00414EEA" w:rsidP="00470F5F">
      <w:pPr>
        <w:autoSpaceDE w:val="0"/>
        <w:autoSpaceDN w:val="0"/>
        <w:adjustRightInd w:val="0"/>
        <w:rPr>
          <w:szCs w:val="24"/>
          <w:lang w:val="en-US"/>
        </w:rPr>
      </w:pPr>
      <w:r w:rsidRPr="00CD54EB">
        <w:rPr>
          <w:szCs w:val="24"/>
          <w:lang w:val="en-US"/>
        </w:rPr>
        <w:t xml:space="preserve">In this paper we propose to estimate the impact of training on productivity and wages </w:t>
      </w:r>
      <w:r w:rsidRPr="0035797B">
        <w:rPr>
          <w:szCs w:val="24"/>
          <w:lang w:val="en-US"/>
        </w:rPr>
        <w:t xml:space="preserve">following the methodology proposed by </w:t>
      </w:r>
      <w:proofErr w:type="spellStart"/>
      <w:r w:rsidRPr="0035797B">
        <w:rPr>
          <w:szCs w:val="24"/>
          <w:lang w:val="en-US"/>
        </w:rPr>
        <w:t>Dearden</w:t>
      </w:r>
      <w:proofErr w:type="spellEnd"/>
      <w:r w:rsidRPr="0035797B">
        <w:rPr>
          <w:szCs w:val="24"/>
          <w:lang w:val="en-US"/>
        </w:rPr>
        <w:t xml:space="preserve"> et al (2006) and Conti (2005), with the</w:t>
      </w:r>
      <w:r w:rsidRPr="00CD54EB">
        <w:rPr>
          <w:szCs w:val="24"/>
          <w:lang w:val="en-US"/>
        </w:rPr>
        <w:t xml:space="preserve"> objective of measuring the existence of the identified gap between the productivity and wages. Additionally, we explore two dimensions that can influence the magnitude of that wage- productivity gap. First</w:t>
      </w:r>
      <w:r w:rsidR="00470F5F">
        <w:rPr>
          <w:szCs w:val="24"/>
          <w:lang w:val="en-US"/>
        </w:rPr>
        <w:t>ly</w:t>
      </w:r>
      <w:r w:rsidRPr="00CD54EB">
        <w:rPr>
          <w:szCs w:val="24"/>
          <w:lang w:val="en-US"/>
        </w:rPr>
        <w:t xml:space="preserve"> we analyzed whether in high- tech sectors </w:t>
      </w:r>
      <w:r w:rsidRPr="0035797B">
        <w:rPr>
          <w:szCs w:val="24"/>
          <w:lang w:val="en-US"/>
        </w:rPr>
        <w:t>(OECD, 1997) this gap is lower or not, which would be in line with the hypothesis of structural change for equality (</w:t>
      </w:r>
      <w:r w:rsidR="0035797B" w:rsidRPr="0035797B">
        <w:rPr>
          <w:szCs w:val="24"/>
          <w:lang w:val="en-US"/>
        </w:rPr>
        <w:t>CEPAL</w:t>
      </w:r>
      <w:r w:rsidRPr="0035797B">
        <w:rPr>
          <w:szCs w:val="24"/>
          <w:lang w:val="en-US"/>
        </w:rPr>
        <w:t>, 2012). Second</w:t>
      </w:r>
      <w:r w:rsidR="00470F5F">
        <w:rPr>
          <w:szCs w:val="24"/>
          <w:lang w:val="en-US"/>
        </w:rPr>
        <w:t>ly</w:t>
      </w:r>
      <w:r w:rsidRPr="0035797B">
        <w:rPr>
          <w:szCs w:val="24"/>
          <w:lang w:val="en-US"/>
        </w:rPr>
        <w:t>, we analyze if the sectors in which</w:t>
      </w:r>
      <w:r w:rsidRPr="00CD54EB">
        <w:rPr>
          <w:szCs w:val="24"/>
          <w:lang w:val="en-US"/>
        </w:rPr>
        <w:t xml:space="preserve"> unions reached above-average wage increases managed to reduce this gap. That is, if the strength in wage bargaining is a way to narrow the gap.</w:t>
      </w:r>
    </w:p>
    <w:p w14:paraId="179BAAD5" w14:textId="55A7A936" w:rsidR="00414EEA" w:rsidRDefault="00414EEA" w:rsidP="00414EEA">
      <w:pPr>
        <w:rPr>
          <w:szCs w:val="24"/>
          <w:lang w:val="en-US"/>
        </w:rPr>
      </w:pPr>
      <w:r w:rsidRPr="00CD54EB">
        <w:rPr>
          <w:szCs w:val="24"/>
          <w:lang w:val="en-US"/>
        </w:rPr>
        <w:t>Quantification of the productivity-wage relationship is central to understand the dynamics of rent appropriation. Such analysis allows us determining the simultaneous impact of activities such as training on the competitiveness of firm</w:t>
      </w:r>
      <w:r w:rsidR="007C6940">
        <w:rPr>
          <w:szCs w:val="24"/>
          <w:lang w:val="en-US"/>
        </w:rPr>
        <w:t>s</w:t>
      </w:r>
      <w:r w:rsidRPr="00CD54EB">
        <w:rPr>
          <w:szCs w:val="24"/>
          <w:lang w:val="en-US"/>
        </w:rPr>
        <w:t xml:space="preserve"> and workers welfare. The literature on innovation and technological change has long warned about the impact of improved processes, </w:t>
      </w:r>
      <w:r w:rsidRPr="009539A9">
        <w:rPr>
          <w:szCs w:val="24"/>
          <w:lang w:val="en-US"/>
        </w:rPr>
        <w:t>products and organizational practices on productivity and employment (</w:t>
      </w:r>
      <w:r w:rsidR="009539A9" w:rsidRPr="008B1E10">
        <w:rPr>
          <w:szCs w:val="24"/>
          <w:lang w:val="en-US"/>
        </w:rPr>
        <w:t>Jensen et al., 2007</w:t>
      </w:r>
      <w:r w:rsidRPr="008B1E10">
        <w:rPr>
          <w:szCs w:val="24"/>
          <w:lang w:val="en-US"/>
        </w:rPr>
        <w:t>).</w:t>
      </w:r>
      <w:r w:rsidRPr="00CD54EB">
        <w:rPr>
          <w:szCs w:val="24"/>
          <w:lang w:val="en-US"/>
        </w:rPr>
        <w:t xml:space="preserve"> This evidence leads to argue that innovation is the way to reconcile private benefits with welfare improvements.</w:t>
      </w:r>
      <w:r>
        <w:rPr>
          <w:szCs w:val="24"/>
          <w:lang w:val="en-US"/>
        </w:rPr>
        <w:t xml:space="preserve"> However, little </w:t>
      </w:r>
      <w:r w:rsidR="007C6940">
        <w:rPr>
          <w:szCs w:val="24"/>
          <w:lang w:val="en-US"/>
        </w:rPr>
        <w:t xml:space="preserve">is </w:t>
      </w:r>
      <w:r>
        <w:rPr>
          <w:szCs w:val="24"/>
          <w:lang w:val="en-US"/>
        </w:rPr>
        <w:t>know</w:t>
      </w:r>
      <w:r w:rsidR="007C6940">
        <w:rPr>
          <w:szCs w:val="24"/>
          <w:lang w:val="en-US"/>
        </w:rPr>
        <w:t>n</w:t>
      </w:r>
      <w:r>
        <w:rPr>
          <w:szCs w:val="24"/>
          <w:lang w:val="en-US"/>
        </w:rPr>
        <w:t xml:space="preserve"> about those wage improvements, which are the mechanism through which innovation “spills over” the rest of the society. More precisely, is it true that R&amp;D intensive activities lead to improvements in the relationship productivity-wage? If the environment impacts it, which one is the role of labor institutions? Do unions that managed to reach higher wage increases contribute to close the gap? Or, conversely, do they prevent salaries to follow the evolution of productivity? These are the questions that have motivated the hypotheses of this research: </w:t>
      </w:r>
    </w:p>
    <w:p w14:paraId="22A238D8" w14:textId="77777777" w:rsidR="00E06620" w:rsidRDefault="00414EEA" w:rsidP="00414EEA">
      <w:pPr>
        <w:rPr>
          <w:i/>
          <w:szCs w:val="24"/>
          <w:lang w:val="en-US"/>
        </w:rPr>
      </w:pPr>
      <w:r>
        <w:rPr>
          <w:b/>
          <w:i/>
          <w:szCs w:val="24"/>
          <w:lang w:val="en-US"/>
        </w:rPr>
        <w:t xml:space="preserve">H1. The impact of training on productivity and wages. </w:t>
      </w:r>
      <w:r w:rsidRPr="00CD54EB">
        <w:rPr>
          <w:i/>
          <w:szCs w:val="24"/>
          <w:lang w:val="en-US"/>
        </w:rPr>
        <w:t>Firms w</w:t>
      </w:r>
      <w:r w:rsidR="007770FE">
        <w:rPr>
          <w:i/>
          <w:szCs w:val="24"/>
          <w:lang w:val="en-US"/>
        </w:rPr>
        <w:t>ith trained</w:t>
      </w:r>
      <w:r w:rsidRPr="00CD54EB">
        <w:rPr>
          <w:i/>
          <w:szCs w:val="24"/>
          <w:lang w:val="en-US"/>
        </w:rPr>
        <w:t xml:space="preserve"> workers show, on average, higher levels of wage and productivity. However, the impact of training on productivity is higher than the impact on salaries. </w:t>
      </w:r>
    </w:p>
    <w:p w14:paraId="49F55EE8" w14:textId="446B8512" w:rsidR="00414EEA" w:rsidRPr="00F927C9" w:rsidRDefault="00414EEA" w:rsidP="00414EEA">
      <w:pPr>
        <w:rPr>
          <w:szCs w:val="24"/>
          <w:lang w:val="en-US"/>
        </w:rPr>
      </w:pPr>
      <w:r w:rsidRPr="00F927C9">
        <w:rPr>
          <w:szCs w:val="24"/>
          <w:lang w:val="en-US"/>
        </w:rPr>
        <w:t xml:space="preserve">The verification of this hypothesis would imply that the impact of training on productivity is not completely translated into </w:t>
      </w:r>
      <w:r w:rsidR="00A77AB6" w:rsidRPr="00F927C9">
        <w:rPr>
          <w:szCs w:val="24"/>
          <w:lang w:val="en-US"/>
        </w:rPr>
        <w:t xml:space="preserve">higher </w:t>
      </w:r>
      <w:r w:rsidRPr="00F927C9">
        <w:rPr>
          <w:szCs w:val="24"/>
          <w:lang w:val="en-US"/>
        </w:rPr>
        <w:t>wage</w:t>
      </w:r>
      <w:r w:rsidR="00A77AB6" w:rsidRPr="00F927C9">
        <w:rPr>
          <w:szCs w:val="24"/>
          <w:lang w:val="en-US"/>
        </w:rPr>
        <w:t>s</w:t>
      </w:r>
      <w:r w:rsidRPr="00F927C9">
        <w:rPr>
          <w:szCs w:val="24"/>
          <w:lang w:val="en-US"/>
        </w:rPr>
        <w:t xml:space="preserve"> but unequally distributed between the firm and its employees. </w:t>
      </w:r>
    </w:p>
    <w:p w14:paraId="6BDCCBC5" w14:textId="1C136392" w:rsidR="00E06620" w:rsidRDefault="00414EEA" w:rsidP="00414EEA">
      <w:pPr>
        <w:rPr>
          <w:i/>
          <w:szCs w:val="24"/>
          <w:lang w:val="en-US"/>
        </w:rPr>
      </w:pPr>
      <w:r w:rsidRPr="00CD54EB">
        <w:rPr>
          <w:b/>
          <w:i/>
          <w:szCs w:val="24"/>
          <w:lang w:val="en-US"/>
        </w:rPr>
        <w:t>H2. The effect of R&amp;D intensity on productivity-wages</w:t>
      </w:r>
      <w:r w:rsidR="00103149">
        <w:rPr>
          <w:b/>
          <w:i/>
          <w:szCs w:val="24"/>
          <w:lang w:val="en-US"/>
        </w:rPr>
        <w:t xml:space="preserve"> </w:t>
      </w:r>
      <w:r w:rsidR="00103149" w:rsidRPr="00CD54EB">
        <w:rPr>
          <w:b/>
          <w:i/>
          <w:szCs w:val="24"/>
          <w:lang w:val="en-US"/>
        </w:rPr>
        <w:t>relationship</w:t>
      </w:r>
      <w:r w:rsidRPr="00CD54EB">
        <w:rPr>
          <w:b/>
          <w:i/>
          <w:szCs w:val="24"/>
          <w:lang w:val="en-US"/>
        </w:rPr>
        <w:t>.</w:t>
      </w:r>
      <w:r>
        <w:rPr>
          <w:i/>
          <w:szCs w:val="24"/>
          <w:lang w:val="en-US"/>
        </w:rPr>
        <w:t xml:space="preserve"> The gap between productivity and wages tends to decrease when one moves from low to medium and high </w:t>
      </w:r>
      <w:r w:rsidR="00572B40">
        <w:rPr>
          <w:i/>
          <w:szCs w:val="24"/>
          <w:lang w:val="en-US"/>
        </w:rPr>
        <w:t>tech sectors</w:t>
      </w:r>
      <w:r>
        <w:rPr>
          <w:i/>
          <w:szCs w:val="24"/>
          <w:lang w:val="en-US"/>
        </w:rPr>
        <w:t xml:space="preserve">. The verification of this hypothesis would provide evidence on the fact that, in certain sectors, workers manage to appropriate a higher share of the training gains. </w:t>
      </w:r>
    </w:p>
    <w:p w14:paraId="6546C697" w14:textId="1082224E" w:rsidR="00414EEA" w:rsidRPr="00F927C9" w:rsidRDefault="00414EEA" w:rsidP="00414EEA">
      <w:pPr>
        <w:rPr>
          <w:szCs w:val="24"/>
          <w:lang w:val="en-US"/>
        </w:rPr>
      </w:pPr>
      <w:r w:rsidRPr="00F927C9">
        <w:rPr>
          <w:szCs w:val="24"/>
          <w:lang w:val="en-US"/>
        </w:rPr>
        <w:lastRenderedPageBreak/>
        <w:t>This hypothesis is based on the idea that technologically complex sectors have higher absorptive capacities, defined as the proportion of highly qualified workers. Then, in these sectors, knowledge is a key asset firms try to retain, most of the times, by means of higher wages.</w:t>
      </w:r>
    </w:p>
    <w:p w14:paraId="6B6AC6CD" w14:textId="2EDFA18C" w:rsidR="00E06620" w:rsidRDefault="00414EEA" w:rsidP="00414EEA">
      <w:pPr>
        <w:rPr>
          <w:i/>
          <w:szCs w:val="24"/>
          <w:lang w:val="en-US"/>
        </w:rPr>
      </w:pPr>
      <w:r w:rsidRPr="00CD54EB">
        <w:rPr>
          <w:b/>
          <w:i/>
          <w:szCs w:val="24"/>
          <w:lang w:val="en-US"/>
        </w:rPr>
        <w:t>H3. The effect of labor institutions on productivity-wages</w:t>
      </w:r>
      <w:r w:rsidR="00103149">
        <w:rPr>
          <w:b/>
          <w:i/>
          <w:szCs w:val="24"/>
          <w:lang w:val="en-US"/>
        </w:rPr>
        <w:t xml:space="preserve"> relationship</w:t>
      </w:r>
      <w:r w:rsidRPr="00CD54EB">
        <w:rPr>
          <w:b/>
          <w:i/>
          <w:szCs w:val="24"/>
          <w:lang w:val="en-US"/>
        </w:rPr>
        <w:t>.</w:t>
      </w:r>
      <w:r>
        <w:rPr>
          <w:i/>
          <w:szCs w:val="24"/>
          <w:lang w:val="en-US"/>
        </w:rPr>
        <w:t xml:space="preserve"> The gap between salaries and productivity tends to decrease when one moves from activities where collective </w:t>
      </w:r>
      <w:r w:rsidR="00A77AB6">
        <w:rPr>
          <w:i/>
          <w:szCs w:val="24"/>
          <w:lang w:val="en-US"/>
        </w:rPr>
        <w:t xml:space="preserve">bargaining </w:t>
      </w:r>
      <w:r>
        <w:rPr>
          <w:i/>
          <w:szCs w:val="24"/>
          <w:lang w:val="en-US"/>
        </w:rPr>
        <w:t xml:space="preserve">(union-led negotiations) led to wage increases below the mean to activities where the negotiations led to over-the-mean increases. </w:t>
      </w:r>
    </w:p>
    <w:p w14:paraId="673D86AA" w14:textId="7A5996B6" w:rsidR="00414EEA" w:rsidRPr="00F927C9" w:rsidRDefault="00414EEA" w:rsidP="00414EEA">
      <w:pPr>
        <w:rPr>
          <w:szCs w:val="24"/>
          <w:lang w:val="en-US"/>
        </w:rPr>
      </w:pPr>
      <w:r w:rsidRPr="00F927C9">
        <w:rPr>
          <w:szCs w:val="24"/>
          <w:lang w:val="en-US"/>
        </w:rPr>
        <w:t xml:space="preserve">It is worth to mention that this hypothesis is proposed in the opposite direction of Conti’s (2005) one since it is based on the assumption that labor unions, by means of their role of negotiators, can get a higher appropriation of the productivity gains, by means of increasing the average level of the salaries. </w:t>
      </w:r>
    </w:p>
    <w:p w14:paraId="3E64129B" w14:textId="77777777" w:rsidR="006F27F3" w:rsidRDefault="006F27F3" w:rsidP="006F2141">
      <w:pPr>
        <w:rPr>
          <w:lang w:val="en-US"/>
        </w:rPr>
      </w:pPr>
    </w:p>
    <w:p w14:paraId="202A9EE6" w14:textId="77777777" w:rsidR="006F27F3" w:rsidRPr="00016AA6" w:rsidRDefault="006F27F3" w:rsidP="006F27F3">
      <w:pPr>
        <w:pStyle w:val="Ttulo2"/>
        <w:rPr>
          <w:rFonts w:ascii="Garamond" w:hAnsi="Garamond"/>
          <w:b/>
          <w:color w:val="auto"/>
          <w:lang w:val="en-US"/>
        </w:rPr>
      </w:pPr>
      <w:r w:rsidRPr="00016AA6">
        <w:rPr>
          <w:rFonts w:ascii="Garamond" w:hAnsi="Garamond"/>
          <w:b/>
          <w:color w:val="auto"/>
          <w:lang w:val="en-US"/>
        </w:rPr>
        <w:t>2. Data and methodology</w:t>
      </w:r>
    </w:p>
    <w:p w14:paraId="1E1EA830" w14:textId="77777777" w:rsidR="00016AA6" w:rsidRDefault="00016AA6" w:rsidP="006F27F3">
      <w:pPr>
        <w:rPr>
          <w:lang w:val="en-US"/>
        </w:rPr>
      </w:pPr>
    </w:p>
    <w:p w14:paraId="3427E5D1" w14:textId="7DB3275E" w:rsidR="00A52963" w:rsidRDefault="006F27F3" w:rsidP="006F27F3">
      <w:pPr>
        <w:rPr>
          <w:lang w:val="en-US"/>
        </w:rPr>
      </w:pPr>
      <w:r w:rsidRPr="0035797B">
        <w:rPr>
          <w:lang w:val="en-US"/>
        </w:rPr>
        <w:t xml:space="preserve">In this paper we follow </w:t>
      </w:r>
      <w:proofErr w:type="spellStart"/>
      <w:r w:rsidRPr="0035797B">
        <w:rPr>
          <w:lang w:val="en-US"/>
        </w:rPr>
        <w:t>Dearden’s</w:t>
      </w:r>
      <w:proofErr w:type="spellEnd"/>
      <w:r w:rsidRPr="0035797B">
        <w:rPr>
          <w:lang w:val="en-US"/>
        </w:rPr>
        <w:t xml:space="preserve"> et al (2000 and 2006) and Conti’s (2005) proposals to analyze the effect of training on productivity and wages. These authors use panel-data information on training</w:t>
      </w:r>
      <w:r w:rsidR="002728D1">
        <w:rPr>
          <w:lang w:val="en-US"/>
        </w:rPr>
        <w:t>, wages and productivity</w:t>
      </w:r>
      <w:r w:rsidRPr="0035797B">
        <w:rPr>
          <w:lang w:val="en-US"/>
        </w:rPr>
        <w:t xml:space="preserve"> for different periods. This allows them to apply different econometric</w:t>
      </w:r>
      <w:r w:rsidRPr="00B857D2">
        <w:rPr>
          <w:lang w:val="en-US"/>
        </w:rPr>
        <w:t xml:space="preserve"> techniques (Fixed Effects models and General Method of Moments)</w:t>
      </w:r>
      <w:r>
        <w:rPr>
          <w:lang w:val="en-US"/>
        </w:rPr>
        <w:t xml:space="preserve"> in order </w:t>
      </w:r>
      <w:r w:rsidRPr="00B857D2">
        <w:rPr>
          <w:lang w:val="en-US"/>
        </w:rPr>
        <w:t xml:space="preserve">to control for unobserved heterogeneity </w:t>
      </w:r>
      <w:r>
        <w:rPr>
          <w:lang w:val="en-US"/>
        </w:rPr>
        <w:t>and poten</w:t>
      </w:r>
      <w:r>
        <w:rPr>
          <w:b/>
          <w:lang w:val="en-US"/>
        </w:rPr>
        <w:t>t</w:t>
      </w:r>
      <w:r>
        <w:rPr>
          <w:lang w:val="en-US"/>
        </w:rPr>
        <w:t xml:space="preserve">ial </w:t>
      </w:r>
      <w:proofErr w:type="spellStart"/>
      <w:r>
        <w:rPr>
          <w:lang w:val="en-US"/>
        </w:rPr>
        <w:t>endoge</w:t>
      </w:r>
      <w:r w:rsidR="00D810E8">
        <w:rPr>
          <w:lang w:val="en-US"/>
        </w:rPr>
        <w:t>neity</w:t>
      </w:r>
      <w:proofErr w:type="spellEnd"/>
      <w:r>
        <w:rPr>
          <w:lang w:val="en-US"/>
        </w:rPr>
        <w:t xml:space="preserve"> of </w:t>
      </w:r>
      <w:r w:rsidRPr="00B857D2">
        <w:rPr>
          <w:lang w:val="en-US"/>
        </w:rPr>
        <w:t>training. In our case, the</w:t>
      </w:r>
      <w:r>
        <w:rPr>
          <w:lang w:val="en-US"/>
        </w:rPr>
        <w:t xml:space="preserve"> available </w:t>
      </w:r>
      <w:r w:rsidRPr="00B857D2">
        <w:rPr>
          <w:lang w:val="en-US"/>
        </w:rPr>
        <w:t xml:space="preserve">database has only one observation </w:t>
      </w:r>
      <w:r>
        <w:rPr>
          <w:lang w:val="en-US"/>
        </w:rPr>
        <w:t xml:space="preserve">for </w:t>
      </w:r>
      <w:r w:rsidR="00A52963">
        <w:rPr>
          <w:lang w:val="en-US"/>
        </w:rPr>
        <w:t>the main variables</w:t>
      </w:r>
      <w:r w:rsidR="002728D1">
        <w:rPr>
          <w:lang w:val="en-US"/>
        </w:rPr>
        <w:t xml:space="preserve">; </w:t>
      </w:r>
      <w:r w:rsidR="00EC05E1">
        <w:rPr>
          <w:lang w:val="en-US"/>
        </w:rPr>
        <w:t>therefore we cannot apply panel econometrics</w:t>
      </w:r>
      <w:r>
        <w:rPr>
          <w:lang w:val="en-US"/>
        </w:rPr>
        <w:t xml:space="preserve">. </w:t>
      </w:r>
    </w:p>
    <w:p w14:paraId="1926E99E" w14:textId="5CFA30CA" w:rsidR="006F27F3" w:rsidRPr="00B857D2" w:rsidRDefault="006F27F3" w:rsidP="006F27F3">
      <w:pPr>
        <w:rPr>
          <w:b/>
          <w:szCs w:val="24"/>
          <w:lang w:val="en-US"/>
        </w:rPr>
      </w:pPr>
      <w:r w:rsidRPr="00B857D2">
        <w:rPr>
          <w:lang w:val="en-US"/>
        </w:rPr>
        <w:t xml:space="preserve">We </w:t>
      </w:r>
      <w:r w:rsidR="002728D1">
        <w:rPr>
          <w:lang w:val="en-US"/>
        </w:rPr>
        <w:t>use</w:t>
      </w:r>
      <w:r w:rsidRPr="00B857D2">
        <w:rPr>
          <w:lang w:val="en-US"/>
        </w:rPr>
        <w:t xml:space="preserve"> a micro-database made up of </w:t>
      </w:r>
      <w:r w:rsidR="00393344" w:rsidRPr="00B857D2">
        <w:rPr>
          <w:lang w:val="en-US"/>
        </w:rPr>
        <w:t>14</w:t>
      </w:r>
      <w:r w:rsidR="00393344">
        <w:rPr>
          <w:lang w:val="en-US"/>
        </w:rPr>
        <w:t>16</w:t>
      </w:r>
      <w:r w:rsidR="00393344" w:rsidRPr="00B857D2">
        <w:rPr>
          <w:lang w:val="en-US"/>
        </w:rPr>
        <w:t xml:space="preserve"> </w:t>
      </w:r>
      <w:r w:rsidRPr="00B857D2">
        <w:rPr>
          <w:lang w:val="en-US"/>
        </w:rPr>
        <w:t xml:space="preserve">Argentinean SMEs from different </w:t>
      </w:r>
      <w:r>
        <w:rPr>
          <w:lang w:val="en-US"/>
        </w:rPr>
        <w:t xml:space="preserve">manufacturing </w:t>
      </w:r>
      <w:r w:rsidRPr="00B857D2">
        <w:rPr>
          <w:lang w:val="en-US"/>
        </w:rPr>
        <w:t xml:space="preserve">and service sectors, based on information collected by the Secretariat of </w:t>
      </w:r>
      <w:r w:rsidRPr="0035797B">
        <w:rPr>
          <w:lang w:val="en-US"/>
        </w:rPr>
        <w:t>Industry, Trade, and Small and Medium Enterprises (SMEs) of the Argentinean Ministry of Production.</w:t>
      </w:r>
      <w:r w:rsidRPr="0035797B">
        <w:rPr>
          <w:szCs w:val="24"/>
          <w:lang w:val="en-US"/>
        </w:rPr>
        <w:t xml:space="preserve"> </w:t>
      </w:r>
      <w:r w:rsidR="002728D1">
        <w:rPr>
          <w:szCs w:val="24"/>
          <w:lang w:val="en-US"/>
        </w:rPr>
        <w:t xml:space="preserve">The database provides information </w:t>
      </w:r>
      <w:r w:rsidR="00393344">
        <w:rPr>
          <w:szCs w:val="24"/>
          <w:lang w:val="en-US"/>
        </w:rPr>
        <w:t xml:space="preserve">about economic performance, innovation and training </w:t>
      </w:r>
      <w:r w:rsidR="002728D1">
        <w:rPr>
          <w:szCs w:val="24"/>
          <w:lang w:val="en-US"/>
        </w:rPr>
        <w:t xml:space="preserve">for the period </w:t>
      </w:r>
      <w:r w:rsidRPr="0035797B">
        <w:rPr>
          <w:szCs w:val="24"/>
          <w:lang w:val="en-US"/>
        </w:rPr>
        <w:t>2006</w:t>
      </w:r>
      <w:r w:rsidR="002728D1">
        <w:rPr>
          <w:szCs w:val="24"/>
          <w:lang w:val="en-US"/>
        </w:rPr>
        <w:t>-</w:t>
      </w:r>
      <w:r w:rsidRPr="0035797B">
        <w:rPr>
          <w:szCs w:val="24"/>
          <w:lang w:val="en-US"/>
        </w:rPr>
        <w:t xml:space="preserve">2008. </w:t>
      </w:r>
      <w:r w:rsidR="00393344">
        <w:rPr>
          <w:szCs w:val="24"/>
          <w:lang w:val="en-US"/>
        </w:rPr>
        <w:t>F</w:t>
      </w:r>
      <w:r w:rsidRPr="00B857D2">
        <w:rPr>
          <w:szCs w:val="24"/>
          <w:lang w:val="en-US"/>
        </w:rPr>
        <w:t>irm productivity level and firm average wage</w:t>
      </w:r>
      <w:r w:rsidR="00393344">
        <w:rPr>
          <w:szCs w:val="24"/>
          <w:lang w:val="en-US"/>
        </w:rPr>
        <w:t xml:space="preserve"> both in 2008 are the outcome variables considered.</w:t>
      </w:r>
      <w:r w:rsidRPr="00B857D2">
        <w:rPr>
          <w:szCs w:val="24"/>
          <w:lang w:val="en-US"/>
        </w:rPr>
        <w:t xml:space="preserve"> </w:t>
      </w:r>
      <w:r w:rsidRPr="00B857D2">
        <w:rPr>
          <w:rStyle w:val="hps"/>
          <w:lang w:val="en-US"/>
        </w:rPr>
        <w:t>Labor productivity</w:t>
      </w:r>
      <w:r w:rsidRPr="00B857D2">
        <w:rPr>
          <w:lang w:val="en-US"/>
        </w:rPr>
        <w:t xml:space="preserve"> was estimated as value added per </w:t>
      </w:r>
      <w:r w:rsidRPr="00B857D2">
        <w:rPr>
          <w:rStyle w:val="hps"/>
          <w:lang w:val="en-US"/>
        </w:rPr>
        <w:t>employee.</w:t>
      </w:r>
      <w:r w:rsidRPr="00B857D2">
        <w:rPr>
          <w:szCs w:val="24"/>
          <w:lang w:val="en-US"/>
        </w:rPr>
        <w:t xml:space="preserve"> The firm’s value added was calculated from the available information on firms’ sales, labor costs, and intermediate consumption</w:t>
      </w:r>
      <w:r>
        <w:rPr>
          <w:b/>
          <w:szCs w:val="24"/>
          <w:lang w:val="en-US"/>
        </w:rPr>
        <w:t>s</w:t>
      </w:r>
      <w:r w:rsidRPr="00B857D2">
        <w:rPr>
          <w:szCs w:val="24"/>
          <w:lang w:val="en-US"/>
        </w:rPr>
        <w:t>. Wage correspond</w:t>
      </w:r>
      <w:r w:rsidR="00BF24EF">
        <w:rPr>
          <w:szCs w:val="24"/>
          <w:lang w:val="en-US"/>
        </w:rPr>
        <w:t>s</w:t>
      </w:r>
      <w:r w:rsidRPr="00B857D2">
        <w:rPr>
          <w:szCs w:val="24"/>
          <w:lang w:val="en-US"/>
        </w:rPr>
        <w:t xml:space="preserve"> to the firm average wage, estimated as the</w:t>
      </w:r>
      <w:r>
        <w:rPr>
          <w:szCs w:val="24"/>
          <w:lang w:val="en-US"/>
        </w:rPr>
        <w:t xml:space="preserve"> ratio between</w:t>
      </w:r>
      <w:r w:rsidRPr="00B857D2">
        <w:rPr>
          <w:szCs w:val="24"/>
          <w:lang w:val="en-US"/>
        </w:rPr>
        <w:t xml:space="preserve"> total </w:t>
      </w:r>
      <w:r w:rsidR="00393344" w:rsidRPr="00B857D2">
        <w:rPr>
          <w:szCs w:val="24"/>
          <w:lang w:val="en-US"/>
        </w:rPr>
        <w:t>amounts</w:t>
      </w:r>
      <w:r w:rsidRPr="00B857D2">
        <w:rPr>
          <w:szCs w:val="24"/>
          <w:lang w:val="en-US"/>
        </w:rPr>
        <w:t xml:space="preserve"> paid in concept of wages and other labor costs (non-remunerative payments) </w:t>
      </w:r>
      <w:r>
        <w:rPr>
          <w:szCs w:val="24"/>
          <w:lang w:val="en-US"/>
        </w:rPr>
        <w:t>and</w:t>
      </w:r>
      <w:r w:rsidRPr="00B857D2">
        <w:rPr>
          <w:szCs w:val="24"/>
          <w:lang w:val="en-US"/>
        </w:rPr>
        <w:t xml:space="preserve"> total number of employees.</w:t>
      </w:r>
      <w:r>
        <w:rPr>
          <w:szCs w:val="24"/>
          <w:lang w:val="en-US"/>
        </w:rPr>
        <w:t xml:space="preserve"> Productivity and wages are taken in logs.</w:t>
      </w:r>
      <w:r w:rsidR="00393344" w:rsidRPr="00393344">
        <w:rPr>
          <w:szCs w:val="24"/>
          <w:lang w:val="en-US"/>
        </w:rPr>
        <w:t xml:space="preserve"> </w:t>
      </w:r>
      <w:r w:rsidR="00393344" w:rsidRPr="0035797B">
        <w:rPr>
          <w:szCs w:val="24"/>
          <w:lang w:val="en-US"/>
        </w:rPr>
        <w:t>Tra</w:t>
      </w:r>
      <w:r w:rsidR="00393344">
        <w:rPr>
          <w:szCs w:val="24"/>
          <w:lang w:val="en-US"/>
        </w:rPr>
        <w:t>ining</w:t>
      </w:r>
      <w:r w:rsidR="00393344" w:rsidRPr="0035797B">
        <w:rPr>
          <w:szCs w:val="24"/>
          <w:lang w:val="en-US"/>
        </w:rPr>
        <w:t xml:space="preserve"> </w:t>
      </w:r>
      <w:r w:rsidR="00393344">
        <w:rPr>
          <w:szCs w:val="24"/>
          <w:lang w:val="en-US"/>
        </w:rPr>
        <w:t xml:space="preserve">is a binary </w:t>
      </w:r>
      <w:r w:rsidR="00393344" w:rsidRPr="0035797B">
        <w:rPr>
          <w:szCs w:val="24"/>
          <w:lang w:val="en-US"/>
        </w:rPr>
        <w:t xml:space="preserve">variable </w:t>
      </w:r>
      <w:r w:rsidR="00393344">
        <w:rPr>
          <w:szCs w:val="24"/>
          <w:lang w:val="en-US"/>
        </w:rPr>
        <w:t xml:space="preserve">which takes value one </w:t>
      </w:r>
      <w:r w:rsidR="00393344" w:rsidRPr="0035797B">
        <w:rPr>
          <w:szCs w:val="24"/>
          <w:lang w:val="en-US"/>
        </w:rPr>
        <w:t>i</w:t>
      </w:r>
      <w:r w:rsidR="00393344">
        <w:rPr>
          <w:szCs w:val="24"/>
          <w:lang w:val="en-US"/>
        </w:rPr>
        <w:t xml:space="preserve">f the firm </w:t>
      </w:r>
      <w:r w:rsidR="00393344" w:rsidRPr="0035797B">
        <w:rPr>
          <w:szCs w:val="24"/>
          <w:lang w:val="en-US"/>
        </w:rPr>
        <w:t xml:space="preserve">conducted training activities </w:t>
      </w:r>
      <w:r w:rsidR="00BF24EF">
        <w:rPr>
          <w:szCs w:val="24"/>
          <w:lang w:val="en-US"/>
        </w:rPr>
        <w:t>in</w:t>
      </w:r>
      <w:r w:rsidR="00BF24EF" w:rsidRPr="0035797B">
        <w:rPr>
          <w:szCs w:val="24"/>
          <w:lang w:val="en-US"/>
        </w:rPr>
        <w:t xml:space="preserve"> </w:t>
      </w:r>
      <w:r w:rsidR="00393344" w:rsidRPr="0035797B">
        <w:rPr>
          <w:szCs w:val="24"/>
          <w:lang w:val="en-US"/>
        </w:rPr>
        <w:t>the period 2006-2008.</w:t>
      </w:r>
      <w:r w:rsidR="00393344">
        <w:rPr>
          <w:szCs w:val="24"/>
          <w:lang w:val="en-US"/>
        </w:rPr>
        <w:t xml:space="preserve"> </w:t>
      </w:r>
    </w:p>
    <w:p w14:paraId="04DD2460" w14:textId="77777777" w:rsidR="00EC05E1" w:rsidRDefault="00EC05E1" w:rsidP="006F27F3">
      <w:pPr>
        <w:rPr>
          <w:b/>
          <w:szCs w:val="24"/>
          <w:lang w:val="en-US"/>
        </w:rPr>
      </w:pPr>
    </w:p>
    <w:p w14:paraId="40C2E54F" w14:textId="77777777" w:rsidR="00483A0D" w:rsidRDefault="00483A0D" w:rsidP="006F27F3">
      <w:pPr>
        <w:rPr>
          <w:b/>
          <w:szCs w:val="24"/>
          <w:lang w:val="en-US"/>
        </w:rPr>
      </w:pPr>
    </w:p>
    <w:p w14:paraId="0FE3E331" w14:textId="77777777" w:rsidR="00483A0D" w:rsidRDefault="00483A0D" w:rsidP="006F27F3">
      <w:pPr>
        <w:rPr>
          <w:b/>
          <w:szCs w:val="24"/>
          <w:lang w:val="en-US"/>
        </w:rPr>
      </w:pPr>
    </w:p>
    <w:p w14:paraId="348F79F6" w14:textId="77777777" w:rsidR="00483A0D" w:rsidRDefault="00483A0D" w:rsidP="006F27F3">
      <w:pPr>
        <w:rPr>
          <w:b/>
          <w:szCs w:val="24"/>
          <w:lang w:val="en-US"/>
        </w:rPr>
      </w:pPr>
    </w:p>
    <w:p w14:paraId="532157C1" w14:textId="77777777" w:rsidR="00483A0D" w:rsidRDefault="00483A0D">
      <w:pPr>
        <w:spacing w:after="200"/>
        <w:jc w:val="left"/>
        <w:rPr>
          <w:b/>
          <w:szCs w:val="24"/>
          <w:lang w:val="en-US"/>
        </w:rPr>
      </w:pPr>
      <w:r>
        <w:rPr>
          <w:b/>
          <w:szCs w:val="24"/>
          <w:lang w:val="en-US"/>
        </w:rPr>
        <w:br w:type="page"/>
      </w:r>
    </w:p>
    <w:p w14:paraId="32C91F6A" w14:textId="7F469DD1" w:rsidR="006F27F3" w:rsidRPr="00C41769" w:rsidRDefault="006F27F3" w:rsidP="006F27F3">
      <w:pPr>
        <w:rPr>
          <w:b/>
          <w:szCs w:val="24"/>
          <w:lang w:val="en-US"/>
        </w:rPr>
      </w:pPr>
      <w:r w:rsidRPr="00C41769">
        <w:rPr>
          <w:b/>
          <w:szCs w:val="24"/>
          <w:lang w:val="en-US"/>
        </w:rPr>
        <w:lastRenderedPageBreak/>
        <w:t>Figure 1. Directed acyclic graph</w:t>
      </w:r>
    </w:p>
    <w:p w14:paraId="68C6E33F" w14:textId="77777777" w:rsidR="006F27F3" w:rsidRPr="00362A74" w:rsidRDefault="006F27F3" w:rsidP="006F27F3">
      <w:pPr>
        <w:rPr>
          <w:b/>
          <w:sz w:val="22"/>
          <w:szCs w:val="24"/>
          <w:lang w:val="en-US"/>
        </w:rPr>
      </w:pPr>
      <w:r w:rsidRPr="00362A74">
        <w:rPr>
          <w:b/>
          <w:noProof/>
          <w:sz w:val="22"/>
          <w:szCs w:val="24"/>
          <w:lang w:eastAsia="es-AR"/>
        </w:rPr>
        <w:drawing>
          <wp:inline distT="0" distB="0" distL="0" distR="0" wp14:anchorId="6C19E618" wp14:editId="389D2007">
            <wp:extent cx="2969971" cy="1750602"/>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6826" cy="1754642"/>
                    </a:xfrm>
                    <a:prstGeom prst="rect">
                      <a:avLst/>
                    </a:prstGeom>
                    <a:noFill/>
                    <a:ln>
                      <a:noFill/>
                    </a:ln>
                  </pic:spPr>
                </pic:pic>
              </a:graphicData>
            </a:graphic>
          </wp:inline>
        </w:drawing>
      </w:r>
    </w:p>
    <w:p w14:paraId="3108DB81" w14:textId="77777777" w:rsidR="006F27F3" w:rsidRPr="00C41769" w:rsidRDefault="006F27F3" w:rsidP="006F27F3">
      <w:pPr>
        <w:rPr>
          <w:b/>
          <w:sz w:val="20"/>
          <w:szCs w:val="24"/>
          <w:lang w:val="en-US"/>
        </w:rPr>
      </w:pPr>
      <w:r w:rsidRPr="00C41769">
        <w:rPr>
          <w:sz w:val="20"/>
          <w:szCs w:val="24"/>
          <w:lang w:val="en-US"/>
        </w:rPr>
        <w:t>Source: Own elaboration.</w:t>
      </w:r>
    </w:p>
    <w:p w14:paraId="40E87704" w14:textId="4FB03D27" w:rsidR="00E77BA4" w:rsidRPr="00F927C9" w:rsidRDefault="00BF24EF" w:rsidP="00E77BA4">
      <w:pPr>
        <w:rPr>
          <w:szCs w:val="24"/>
          <w:lang w:val="en-GB"/>
        </w:rPr>
      </w:pPr>
      <w:r>
        <w:rPr>
          <w:szCs w:val="24"/>
          <w:lang w:val="en-US"/>
        </w:rPr>
        <w:t xml:space="preserve">Figure 1 presents the main relations among variables. We claim that training has a causal effect on both labor productivity and wages. However we cannot identify this relationship directly because there is a set of variables (observable confounders) that simultaneously affect training and outcomes variables (labor productivity and wages), and this causes a selection bias. To overcome this limitation we apply </w:t>
      </w:r>
      <w:r w:rsidR="00E77BA4">
        <w:rPr>
          <w:szCs w:val="24"/>
          <w:lang w:val="en-US"/>
        </w:rPr>
        <w:t xml:space="preserve">two strategies: a) non- parametric estimation based on the balance of the database following the propensity score of carry out training activities, and b) </w:t>
      </w:r>
      <w:r w:rsidR="0040680C">
        <w:rPr>
          <w:szCs w:val="24"/>
          <w:lang w:val="en-US"/>
        </w:rPr>
        <w:t xml:space="preserve">a parametric technique named </w:t>
      </w:r>
      <w:r w:rsidR="00E77BA4" w:rsidRPr="00F927C9">
        <w:rPr>
          <w:lang w:val="en-GB"/>
        </w:rPr>
        <w:t>doubly</w:t>
      </w:r>
      <w:r w:rsidR="0040680C">
        <w:rPr>
          <w:lang w:val="en-GB"/>
        </w:rPr>
        <w:t>-</w:t>
      </w:r>
      <w:r w:rsidR="00E77BA4" w:rsidRPr="00F927C9">
        <w:rPr>
          <w:lang w:val="en-GB"/>
        </w:rPr>
        <w:t xml:space="preserve">robust </w:t>
      </w:r>
      <w:r w:rsidR="0040680C">
        <w:rPr>
          <w:szCs w:val="24"/>
          <w:lang w:val="en-US"/>
        </w:rPr>
        <w:t>estimators</w:t>
      </w:r>
      <w:r w:rsidR="00E77BA4">
        <w:rPr>
          <w:szCs w:val="24"/>
          <w:lang w:val="en-US"/>
        </w:rPr>
        <w:t xml:space="preserve"> </w:t>
      </w:r>
      <w:r w:rsidR="00B20F56" w:rsidRPr="00B20F56">
        <w:rPr>
          <w:rFonts w:cs="Tahoma"/>
          <w:szCs w:val="24"/>
          <w:lang w:val="en-GB"/>
        </w:rPr>
        <w:t>(</w:t>
      </w:r>
      <w:proofErr w:type="spellStart"/>
      <w:r w:rsidR="00B20F56" w:rsidRPr="00B20F56">
        <w:rPr>
          <w:rFonts w:cs="Tahoma"/>
          <w:szCs w:val="24"/>
          <w:lang w:val="en-GB"/>
        </w:rPr>
        <w:t>Lunceford</w:t>
      </w:r>
      <w:proofErr w:type="spellEnd"/>
      <w:r w:rsidR="00B20F56" w:rsidRPr="00B20F56">
        <w:rPr>
          <w:rFonts w:cs="Tahoma"/>
          <w:szCs w:val="24"/>
          <w:lang w:val="en-GB"/>
        </w:rPr>
        <w:t xml:space="preserve"> a</w:t>
      </w:r>
      <w:r w:rsidR="00B20F56">
        <w:rPr>
          <w:rFonts w:cs="Tahoma"/>
          <w:szCs w:val="24"/>
          <w:lang w:val="en-GB"/>
        </w:rPr>
        <w:t>nd</w:t>
      </w:r>
      <w:r w:rsidR="00E77BA4" w:rsidRPr="00F927C9">
        <w:rPr>
          <w:rFonts w:cs="Tahoma"/>
          <w:szCs w:val="24"/>
          <w:lang w:val="en-GB"/>
        </w:rPr>
        <w:t xml:space="preserve"> </w:t>
      </w:r>
      <w:proofErr w:type="spellStart"/>
      <w:r w:rsidR="00E77BA4" w:rsidRPr="00F927C9">
        <w:rPr>
          <w:rFonts w:cs="Tahoma"/>
          <w:szCs w:val="24"/>
          <w:lang w:val="en-GB"/>
        </w:rPr>
        <w:t>Davidian</w:t>
      </w:r>
      <w:proofErr w:type="spellEnd"/>
      <w:r w:rsidR="00E77BA4" w:rsidRPr="00F927C9">
        <w:rPr>
          <w:rFonts w:cs="Tahoma"/>
          <w:szCs w:val="24"/>
          <w:lang w:val="en-GB"/>
        </w:rPr>
        <w:t>, 2004).</w:t>
      </w:r>
    </w:p>
    <w:p w14:paraId="3BD9A1C1" w14:textId="052EA81A" w:rsidR="00BF24EF" w:rsidRDefault="00557850" w:rsidP="00BF24EF">
      <w:pPr>
        <w:rPr>
          <w:b/>
          <w:szCs w:val="24"/>
          <w:lang w:val="en-US"/>
        </w:rPr>
      </w:pPr>
      <w:r>
        <w:rPr>
          <w:szCs w:val="24"/>
          <w:lang w:val="en-GB"/>
        </w:rPr>
        <w:t>In the first place</w:t>
      </w:r>
      <w:r w:rsidR="00E77BA4">
        <w:rPr>
          <w:szCs w:val="24"/>
          <w:lang w:val="en-GB"/>
        </w:rPr>
        <w:t xml:space="preserve">, we use </w:t>
      </w:r>
      <w:r w:rsidR="00BF24EF">
        <w:rPr>
          <w:szCs w:val="24"/>
          <w:lang w:val="en-US"/>
        </w:rPr>
        <w:t>a propensity score matching technique to calculate the average treatment (training) effect. In</w:t>
      </w:r>
      <w:r w:rsidR="00BF24EF" w:rsidRPr="00B857D2">
        <w:rPr>
          <w:szCs w:val="24"/>
          <w:lang w:val="en-US"/>
        </w:rPr>
        <w:t xml:space="preserve"> order to balance the </w:t>
      </w:r>
      <w:r w:rsidR="00BF24EF">
        <w:rPr>
          <w:szCs w:val="24"/>
          <w:lang w:val="en-US"/>
        </w:rPr>
        <w:t>sample between firms that did training and did not we use the following set of confounders:</w:t>
      </w:r>
      <w:r w:rsidR="00BF24EF" w:rsidRPr="00B857D2">
        <w:rPr>
          <w:szCs w:val="24"/>
          <w:lang w:val="en-US"/>
        </w:rPr>
        <w:t xml:space="preserve"> innovation activities, </w:t>
      </w:r>
      <w:r w:rsidR="00AC48E0">
        <w:rPr>
          <w:szCs w:val="24"/>
          <w:lang w:val="en-US"/>
        </w:rPr>
        <w:t>average annual rate of growth of employment in the period 2003-2007</w:t>
      </w:r>
      <w:r w:rsidR="00BF24EF" w:rsidRPr="00B857D2">
        <w:rPr>
          <w:szCs w:val="24"/>
          <w:lang w:val="en-US"/>
        </w:rPr>
        <w:t>,</w:t>
      </w:r>
      <w:r w:rsidR="00AC48E0">
        <w:rPr>
          <w:szCs w:val="24"/>
          <w:lang w:val="en-US"/>
        </w:rPr>
        <w:t xml:space="preserve"> average annual rate of growth of </w:t>
      </w:r>
      <w:r w:rsidR="003F5870">
        <w:rPr>
          <w:szCs w:val="24"/>
          <w:lang w:val="en-US"/>
        </w:rPr>
        <w:t>wage</w:t>
      </w:r>
      <w:r w:rsidR="00AC48E0">
        <w:rPr>
          <w:szCs w:val="24"/>
          <w:lang w:val="en-US"/>
        </w:rPr>
        <w:t xml:space="preserve"> in the period 2003-2007</w:t>
      </w:r>
      <w:r w:rsidR="00BF24EF" w:rsidRPr="00B857D2">
        <w:rPr>
          <w:szCs w:val="24"/>
          <w:lang w:val="en-US"/>
        </w:rPr>
        <w:t xml:space="preserve"> firm age</w:t>
      </w:r>
      <w:r w:rsidR="00BF24EF">
        <w:rPr>
          <w:szCs w:val="24"/>
          <w:lang w:val="en-US"/>
        </w:rPr>
        <w:t>,</w:t>
      </w:r>
      <w:r w:rsidR="00BF24EF" w:rsidRPr="00B857D2">
        <w:rPr>
          <w:szCs w:val="24"/>
          <w:lang w:val="en-US"/>
        </w:rPr>
        <w:t xml:space="preserve"> and sector</w:t>
      </w:r>
      <w:r w:rsidR="00BF24EF">
        <w:rPr>
          <w:b/>
          <w:szCs w:val="24"/>
          <w:lang w:val="en-US"/>
        </w:rPr>
        <w:t>i</w:t>
      </w:r>
      <w:r w:rsidR="00BF24EF" w:rsidRPr="00B857D2">
        <w:rPr>
          <w:szCs w:val="24"/>
          <w:lang w:val="en-US"/>
        </w:rPr>
        <w:t>al dummies (ISIC 2-digits).</w:t>
      </w:r>
    </w:p>
    <w:p w14:paraId="271F444E" w14:textId="77777777" w:rsidR="006F27F3" w:rsidRPr="00B857D2" w:rsidRDefault="006F27F3" w:rsidP="006F27F3">
      <w:pPr>
        <w:rPr>
          <w:b/>
          <w:szCs w:val="24"/>
          <w:lang w:val="en-US"/>
        </w:rPr>
      </w:pPr>
      <w:r w:rsidRPr="00B857D2">
        <w:rPr>
          <w:szCs w:val="24"/>
          <w:lang w:val="en-US"/>
        </w:rPr>
        <w:t>We start</w:t>
      </w:r>
      <w:r w:rsidRPr="00016AA6">
        <w:rPr>
          <w:szCs w:val="24"/>
          <w:lang w:val="en-US"/>
        </w:rPr>
        <w:t>ed</w:t>
      </w:r>
      <w:r w:rsidRPr="00B857D2">
        <w:rPr>
          <w:szCs w:val="24"/>
          <w:lang w:val="en-US"/>
        </w:rPr>
        <w:t xml:space="preserve"> assuming there is an outcome variable of the firm </w:t>
      </w:r>
      <w:proofErr w:type="spellStart"/>
      <w:r w:rsidRPr="00B857D2">
        <w:rPr>
          <w:i/>
          <w:szCs w:val="24"/>
          <w:lang w:val="en-US"/>
        </w:rPr>
        <w:t>i</w:t>
      </w:r>
      <w:proofErr w:type="spellEnd"/>
      <w:r w:rsidRPr="00B857D2">
        <w:rPr>
          <w:szCs w:val="24"/>
          <w:lang w:val="en-US"/>
        </w:rPr>
        <w:t xml:space="preserve">, Yi, </w:t>
      </w:r>
      <w:r w:rsidRPr="00016AA6">
        <w:rPr>
          <w:szCs w:val="24"/>
          <w:lang w:val="en-US"/>
        </w:rPr>
        <w:t>the value of</w:t>
      </w:r>
      <w:r>
        <w:rPr>
          <w:b/>
          <w:szCs w:val="24"/>
          <w:lang w:val="en-US"/>
        </w:rPr>
        <w:t xml:space="preserve"> </w:t>
      </w:r>
      <w:r w:rsidRPr="00B857D2">
        <w:rPr>
          <w:szCs w:val="24"/>
          <w:lang w:val="en-US"/>
        </w:rPr>
        <w:t>which will depend on having or not having conducted training activities</w:t>
      </w:r>
      <w:r w:rsidRPr="00B857D2">
        <w:rPr>
          <w:rStyle w:val="Refdenotaalpie"/>
          <w:szCs w:val="24"/>
          <w:lang w:val="en-US"/>
        </w:rPr>
        <w:footnoteReference w:id="2"/>
      </w:r>
      <w:r w:rsidRPr="00B857D2">
        <w:rPr>
          <w:szCs w:val="24"/>
          <w:lang w:val="en-US"/>
        </w:rPr>
        <w:t>. Additionally we define</w:t>
      </w:r>
      <w:r w:rsidRPr="00016AA6">
        <w:rPr>
          <w:szCs w:val="24"/>
          <w:lang w:val="en-US"/>
        </w:rPr>
        <w:t>d</w:t>
      </w:r>
      <w:r w:rsidRPr="00B857D2">
        <w:rPr>
          <w:szCs w:val="24"/>
          <w:lang w:val="en-US"/>
        </w:rPr>
        <w:t xml:space="preserve"> a binary variable, Di, which takes value 1 if the firm has conducted training activities and 0 if it has not</w:t>
      </w:r>
      <w:r>
        <w:rPr>
          <w:szCs w:val="24"/>
          <w:lang w:val="en-US"/>
        </w:rPr>
        <w:t xml:space="preserve"> –treatment variable-</w:t>
      </w:r>
      <w:r w:rsidRPr="00B857D2">
        <w:rPr>
          <w:szCs w:val="24"/>
          <w:lang w:val="en-US"/>
        </w:rPr>
        <w:t>. According to that, the outcome variable is defined by the following expression:</w:t>
      </w:r>
    </w:p>
    <w:p w14:paraId="758C19FB" w14:textId="77777777" w:rsidR="006F27F3" w:rsidRPr="00B857D2" w:rsidRDefault="00905195" w:rsidP="006F27F3">
      <w:pPr>
        <w:jc w:val="right"/>
        <w:rPr>
          <w:b/>
          <w:sz w:val="32"/>
          <w:szCs w:val="24"/>
          <w:lang w:val="en-US"/>
        </w:rPr>
      </w:pPr>
      <m:oMath>
        <m:sSub>
          <m:sSubPr>
            <m:ctrlPr>
              <w:rPr>
                <w:rFonts w:ascii="Cambria Math" w:hAnsi="Cambria Math"/>
                <w:szCs w:val="24"/>
                <w:lang w:val="en-US"/>
              </w:rPr>
            </m:ctrlPr>
          </m:sSubPr>
          <m:e>
            <m:r>
              <m:rPr>
                <m:sty m:val="b"/>
              </m:rPr>
              <w:rPr>
                <w:rFonts w:ascii="Cambria Math" w:hAnsi="Cambria Math"/>
                <w:szCs w:val="24"/>
                <w:lang w:val="en-US"/>
              </w:rPr>
              <m:t>Y</m:t>
            </m:r>
          </m:e>
          <m:sub>
            <m:r>
              <m:rPr>
                <m:sty m:val="b"/>
              </m:rPr>
              <w:rPr>
                <w:rFonts w:ascii="Cambria Math" w:hAnsi="Cambria Math"/>
                <w:szCs w:val="24"/>
                <w:lang w:val="en-US"/>
              </w:rPr>
              <m:t>i</m:t>
            </m:r>
          </m:sub>
        </m:sSub>
        <m:r>
          <m:rPr>
            <m:sty m:val="bi"/>
          </m:rPr>
          <w:rPr>
            <w:rFonts w:ascii="Cambria Math" w:hAnsi="Cambria Math"/>
            <w:szCs w:val="24"/>
            <w:lang w:val="en-US"/>
          </w:rPr>
          <m:t xml:space="preserve"> </m:t>
        </m:r>
        <m:d>
          <m:dPr>
            <m:begChr m:val="{"/>
            <m:endChr m:val=""/>
            <m:ctrlPr>
              <w:rPr>
                <w:rFonts w:ascii="Cambria Math" w:hAnsi="Cambria Math"/>
                <w:szCs w:val="24"/>
                <w:lang w:val="en-US"/>
              </w:rPr>
            </m:ctrlPr>
          </m:dPr>
          <m:e>
            <m:r>
              <m:rPr>
                <m:sty m:val="bi"/>
              </m:rPr>
              <w:rPr>
                <w:rFonts w:ascii="Cambria Math" w:hAnsi="Cambria Math"/>
                <w:szCs w:val="24"/>
                <w:lang w:val="en-US"/>
              </w:rPr>
              <m:t xml:space="preserve"> </m:t>
            </m:r>
            <m:eqArr>
              <m:eqArrPr>
                <m:ctrlPr>
                  <w:rPr>
                    <w:rFonts w:ascii="Cambria Math" w:hAnsi="Cambria Math"/>
                    <w:szCs w:val="24"/>
                    <w:lang w:val="en-US"/>
                  </w:rPr>
                </m:ctrlPr>
              </m:eqArrPr>
              <m:e>
                <m:sSub>
                  <m:sSubPr>
                    <m:ctrlPr>
                      <w:rPr>
                        <w:rFonts w:ascii="Cambria Math" w:hAnsi="Cambria Math"/>
                        <w:szCs w:val="24"/>
                        <w:lang w:val="en-US"/>
                      </w:rPr>
                    </m:ctrlPr>
                  </m:sSubPr>
                  <m:e>
                    <m:r>
                      <m:rPr>
                        <m:sty m:val="b"/>
                      </m:rPr>
                      <w:rPr>
                        <w:rFonts w:ascii="Cambria Math" w:hAnsi="Cambria Math"/>
                        <w:szCs w:val="24"/>
                        <w:lang w:val="en-US"/>
                      </w:rPr>
                      <m:t xml:space="preserve"> Y</m:t>
                    </m:r>
                  </m:e>
                  <m:sub>
                    <m:r>
                      <m:rPr>
                        <m:sty m:val="b"/>
                      </m:rPr>
                      <w:rPr>
                        <w:rFonts w:ascii="Cambria Math" w:hAnsi="Cambria Math"/>
                        <w:szCs w:val="24"/>
                        <w:lang w:val="en-US"/>
                      </w:rPr>
                      <m:t>i0</m:t>
                    </m:r>
                  </m:sub>
                </m:sSub>
                <m:r>
                  <m:rPr>
                    <m:sty m:val="b"/>
                  </m:rPr>
                  <w:rPr>
                    <w:rFonts w:ascii="Cambria Math" w:hAnsi="Cambria Math"/>
                    <w:szCs w:val="24"/>
                    <w:lang w:val="en-US"/>
                  </w:rPr>
                  <m:t xml:space="preserve">   if   </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=0</m:t>
                </m:r>
              </m:e>
              <m:e>
                <m:sSub>
                  <m:sSubPr>
                    <m:ctrlPr>
                      <w:rPr>
                        <w:rFonts w:ascii="Cambria Math" w:hAnsi="Cambria Math"/>
                        <w:szCs w:val="24"/>
                        <w:lang w:val="en-US"/>
                      </w:rPr>
                    </m:ctrlPr>
                  </m:sSubPr>
                  <m:e>
                    <m:r>
                      <m:rPr>
                        <m:sty m:val="b"/>
                      </m:rPr>
                      <w:rPr>
                        <w:rFonts w:ascii="Cambria Math" w:hAnsi="Cambria Math"/>
                        <w:szCs w:val="24"/>
                        <w:lang w:val="en-US"/>
                      </w:rPr>
                      <m:t xml:space="preserve"> Y</m:t>
                    </m:r>
                  </m:e>
                  <m:sub>
                    <m:r>
                      <m:rPr>
                        <m:sty m:val="b"/>
                      </m:rPr>
                      <w:rPr>
                        <w:rFonts w:ascii="Cambria Math" w:hAnsi="Cambria Math"/>
                        <w:szCs w:val="24"/>
                        <w:lang w:val="en-US"/>
                      </w:rPr>
                      <m:t>i1</m:t>
                    </m:r>
                  </m:sub>
                </m:sSub>
                <m:r>
                  <m:rPr>
                    <m:sty m:val="b"/>
                  </m:rPr>
                  <w:rPr>
                    <w:rFonts w:ascii="Cambria Math" w:hAnsi="Cambria Math"/>
                    <w:szCs w:val="24"/>
                    <w:lang w:val="en-US"/>
                  </w:rPr>
                  <m:t xml:space="preserve">   if   </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m:t>
                </m:r>
              </m:e>
            </m:eqArr>
          </m:e>
        </m:d>
      </m:oMath>
      <w:r w:rsidR="006F27F3" w:rsidRPr="00B857D2">
        <w:rPr>
          <w:rFonts w:eastAsiaTheme="minorEastAsia"/>
          <w:szCs w:val="24"/>
          <w:lang w:val="en-US"/>
        </w:rPr>
        <w:t xml:space="preserve">                                                          (1)</w:t>
      </w:r>
    </w:p>
    <w:p w14:paraId="1ACDB47D" w14:textId="77777777" w:rsidR="006F27F3" w:rsidRPr="00B857D2" w:rsidRDefault="006F27F3" w:rsidP="006F27F3">
      <w:pPr>
        <w:rPr>
          <w:b/>
          <w:szCs w:val="24"/>
          <w:lang w:val="en-US"/>
        </w:rPr>
      </w:pPr>
      <w:r w:rsidRPr="00B857D2">
        <w:rPr>
          <w:szCs w:val="24"/>
          <w:lang w:val="en-US"/>
        </w:rPr>
        <w:t>Then, we can define the average treatment effects of the training activities in the following way:</w:t>
      </w:r>
    </w:p>
    <w:p w14:paraId="6091CE17" w14:textId="77777777" w:rsidR="006F27F3" w:rsidRPr="00B857D2" w:rsidRDefault="006F27F3" w:rsidP="006F27F3">
      <w:pPr>
        <w:rPr>
          <w:szCs w:val="24"/>
          <w:lang w:val="en-US"/>
        </w:rPr>
      </w:pPr>
      <m:oMathPara>
        <m:oMathParaPr>
          <m:jc m:val="center"/>
        </m:oMathParaPr>
        <m:oMath>
          <m:r>
            <m:rPr>
              <m:sty m:val="b"/>
            </m:rPr>
            <w:rPr>
              <w:rFonts w:ascii="Cambria Math" w:hAnsi="Cambria Math"/>
              <w:szCs w:val="24"/>
              <w:lang w:val="en-US"/>
            </w:rPr>
            <m:t xml:space="preserve">  E</m:t>
          </m:r>
          <m:d>
            <m:dPr>
              <m:ctrlPr>
                <w:rPr>
                  <w:rFonts w:ascii="Cambria Math" w:hAnsi="Cambria Math"/>
                  <w:szCs w:val="24"/>
                  <w:lang w:val="en-US"/>
                </w:rPr>
              </m:ctrlPr>
            </m:dPr>
            <m:e>
              <m:sSub>
                <m:sSubPr>
                  <m:ctrlPr>
                    <w:rPr>
                      <w:rFonts w:ascii="Cambria Math" w:hAnsi="Cambria Math"/>
                      <w:szCs w:val="24"/>
                      <w:lang w:val="en-US"/>
                    </w:rPr>
                  </m:ctrlPr>
                </m:sSubPr>
                <m:e>
                  <m:r>
                    <m:rPr>
                      <m:sty m:val="bi"/>
                    </m:rPr>
                    <w:rPr>
                      <w:rFonts w:ascii="Cambria Math" w:hAnsi="Cambria Math"/>
                      <w:szCs w:val="24"/>
                      <w:lang w:val="en-US"/>
                    </w:rPr>
                    <m:t>α</m:t>
                  </m:r>
                </m:e>
                <m:sub>
                  <m:r>
                    <m:rPr>
                      <m:sty m:val="bi"/>
                    </m:rPr>
                    <w:rPr>
                      <w:rFonts w:ascii="Cambria Math" w:hAnsi="Cambria Math"/>
                      <w:szCs w:val="24"/>
                      <w:lang w:val="en-US"/>
                    </w:rPr>
                    <m:t>TT</m:t>
                  </m:r>
                </m:sub>
              </m:sSub>
              <m:ctrlPr>
                <w:rPr>
                  <w:rFonts w:ascii="Cambria Math" w:hAnsi="Cambria Math"/>
                  <w:i/>
                  <w:szCs w:val="24"/>
                  <w:lang w:val="en-US"/>
                </w:rPr>
              </m:ctrlPr>
            </m:e>
          </m:d>
          <m:r>
            <m:rPr>
              <m:sty m:val="bi"/>
            </m:rPr>
            <w:rPr>
              <w:rFonts w:ascii="Cambria Math" w:hAnsi="Cambria Math"/>
              <w:szCs w:val="24"/>
              <w:lang w:val="en-US"/>
            </w:rPr>
            <m:t>=E</m:t>
          </m:r>
          <m:d>
            <m:dPr>
              <m:begChr m:val="["/>
              <m:endChr m:val="]"/>
              <m:ctrlPr>
                <w:rPr>
                  <w:rFonts w:ascii="Cambria Math" w:hAnsi="Cambria Math"/>
                  <w:i/>
                  <w:szCs w:val="24"/>
                  <w:lang w:val="en-US"/>
                </w:rPr>
              </m:ctrlPr>
            </m:dPr>
            <m:e>
              <m:f>
                <m:fPr>
                  <m:type m:val="lin"/>
                  <m:ctrlPr>
                    <w:rPr>
                      <w:rFonts w:ascii="Cambria Math" w:hAnsi="Cambria Math"/>
                      <w:i/>
                      <w:szCs w:val="24"/>
                      <w:lang w:val="en-US"/>
                    </w:rPr>
                  </m:ctrlPr>
                </m:fPr>
                <m:num>
                  <m:d>
                    <m:dPr>
                      <m:ctrlPr>
                        <w:rPr>
                          <w:rFonts w:ascii="Cambria Math" w:hAnsi="Cambria Math"/>
                          <w:i/>
                          <w:szCs w:val="24"/>
                          <w:lang w:val="en-US"/>
                        </w:rPr>
                      </m:ctrlPr>
                    </m:dPr>
                    <m:e>
                      <m:sSub>
                        <m:sSubPr>
                          <m:ctrlPr>
                            <w:rPr>
                              <w:rFonts w:ascii="Cambria Math" w:hAnsi="Cambria Math"/>
                              <w:i/>
                              <w:szCs w:val="24"/>
                              <w:lang w:val="en-US"/>
                            </w:rPr>
                          </m:ctrlPr>
                        </m:sSubPr>
                        <m:e>
                          <m:r>
                            <m:rPr>
                              <m:sty m:val="bi"/>
                            </m:rPr>
                            <w:rPr>
                              <w:rFonts w:ascii="Cambria Math" w:hAnsi="Cambria Math"/>
                              <w:szCs w:val="24"/>
                              <w:lang w:val="en-US"/>
                            </w:rPr>
                            <m:t>Y</m:t>
                          </m:r>
                        </m:e>
                        <m:sub>
                          <m:r>
                            <m:rPr>
                              <m:sty m:val="bi"/>
                            </m:rPr>
                            <w:rPr>
                              <w:rFonts w:ascii="Cambria Math" w:hAnsi="Cambria Math"/>
                              <w:szCs w:val="24"/>
                              <w:lang w:val="en-US"/>
                            </w:rPr>
                            <m:t>i</m:t>
                          </m:r>
                          <m:r>
                            <m:rPr>
                              <m:sty m:val="bi"/>
                            </m:rPr>
                            <w:rPr>
                              <w:rFonts w:ascii="Cambria Math" w:hAnsi="Cambria Math"/>
                              <w:szCs w:val="24"/>
                              <w:lang w:val="en-US"/>
                            </w:rPr>
                            <m:t>1</m:t>
                          </m:r>
                        </m:sub>
                      </m:sSub>
                      <m:r>
                        <m:rPr>
                          <m:sty m:val="bi"/>
                        </m:rPr>
                        <w:rPr>
                          <w:rFonts w:ascii="Cambria Math" w:hAnsi="Cambria Math"/>
                          <w:szCs w:val="24"/>
                          <w:lang w:val="en-US"/>
                        </w:rPr>
                        <m:t>-</m:t>
                      </m:r>
                      <m:sSub>
                        <m:sSubPr>
                          <m:ctrlPr>
                            <w:rPr>
                              <w:rFonts w:ascii="Cambria Math" w:hAnsi="Cambria Math"/>
                              <w:i/>
                              <w:szCs w:val="24"/>
                              <w:lang w:val="en-US"/>
                            </w:rPr>
                          </m:ctrlPr>
                        </m:sSubPr>
                        <m:e>
                          <m:r>
                            <m:rPr>
                              <m:sty m:val="bi"/>
                            </m:rPr>
                            <w:rPr>
                              <w:rFonts w:ascii="Cambria Math" w:hAnsi="Cambria Math"/>
                              <w:szCs w:val="24"/>
                              <w:lang w:val="en-US"/>
                            </w:rPr>
                            <m:t>Y</m:t>
                          </m:r>
                        </m:e>
                        <m:sub>
                          <m:r>
                            <m:rPr>
                              <m:sty m:val="bi"/>
                            </m:rPr>
                            <w:rPr>
                              <w:rFonts w:ascii="Cambria Math" w:hAnsi="Cambria Math"/>
                              <w:szCs w:val="24"/>
                              <w:lang w:val="en-US"/>
                            </w:rPr>
                            <m:t>i</m:t>
                          </m:r>
                          <m:r>
                            <m:rPr>
                              <m:sty m:val="bi"/>
                            </m:rPr>
                            <w:rPr>
                              <w:rFonts w:ascii="Cambria Math" w:hAnsi="Cambria Math"/>
                              <w:szCs w:val="24"/>
                              <w:lang w:val="en-US"/>
                            </w:rPr>
                            <m:t>0</m:t>
                          </m:r>
                        </m:sub>
                      </m:sSub>
                    </m:e>
                  </m:d>
                </m:num>
                <m:den>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i"/>
                    </m:rPr>
                    <w:rPr>
                      <w:rFonts w:ascii="Cambria Math" w:hAnsi="Cambria Math"/>
                      <w:szCs w:val="24"/>
                      <w:lang w:val="en-US"/>
                    </w:rPr>
                    <m:t>=1</m:t>
                  </m:r>
                </m:den>
              </m:f>
            </m:e>
          </m:d>
          <m:r>
            <m:rPr>
              <m:sty m:val="bi"/>
            </m:rPr>
            <w:rPr>
              <w:rFonts w:ascii="Cambria Math" w:hAnsi="Cambria Math"/>
              <w:szCs w:val="24"/>
              <w:lang w:val="en-US"/>
            </w:rPr>
            <m:t>=E</m:t>
          </m:r>
          <m:d>
            <m:dPr>
              <m:ctrlPr>
                <w:rPr>
                  <w:rFonts w:ascii="Cambria Math" w:hAnsi="Cambria Math"/>
                  <w:i/>
                  <w:szCs w:val="24"/>
                  <w:lang w:val="en-US"/>
                </w:rPr>
              </m:ctrlPr>
            </m:dPr>
            <m:e>
              <m:f>
                <m:fPr>
                  <m:type m:val="lin"/>
                  <m:ctrlPr>
                    <w:rPr>
                      <w:rFonts w:ascii="Cambria Math" w:hAnsi="Cambria Math"/>
                      <w:i/>
                      <w:szCs w:val="24"/>
                      <w:lang w:val="en-US"/>
                    </w:rPr>
                  </m:ctrlPr>
                </m:fPr>
                <m:num>
                  <m:sSub>
                    <m:sSubPr>
                      <m:ctrlPr>
                        <w:rPr>
                          <w:rFonts w:ascii="Cambria Math" w:hAnsi="Cambria Math"/>
                          <w:i/>
                          <w:szCs w:val="24"/>
                          <w:lang w:val="en-US"/>
                        </w:rPr>
                      </m:ctrlPr>
                    </m:sSubPr>
                    <m:e>
                      <m:r>
                        <m:rPr>
                          <m:sty m:val="bi"/>
                        </m:rPr>
                        <w:rPr>
                          <w:rFonts w:ascii="Cambria Math" w:hAnsi="Cambria Math"/>
                          <w:szCs w:val="24"/>
                          <w:lang w:val="en-US"/>
                        </w:rPr>
                        <m:t>Y</m:t>
                      </m:r>
                    </m:e>
                    <m:sub>
                      <m:r>
                        <m:rPr>
                          <m:sty m:val="bi"/>
                        </m:rPr>
                        <w:rPr>
                          <w:rFonts w:ascii="Cambria Math" w:hAnsi="Cambria Math"/>
                          <w:szCs w:val="24"/>
                          <w:lang w:val="en-US"/>
                        </w:rPr>
                        <m:t>i</m:t>
                      </m:r>
                      <m:r>
                        <m:rPr>
                          <m:sty m:val="bi"/>
                        </m:rPr>
                        <w:rPr>
                          <w:rFonts w:ascii="Cambria Math" w:hAnsi="Cambria Math"/>
                          <w:szCs w:val="24"/>
                          <w:lang w:val="en-US"/>
                        </w:rPr>
                        <m:t>1</m:t>
                      </m:r>
                    </m:sub>
                  </m:sSub>
                </m:num>
                <m:den>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i"/>
                    </m:rPr>
                    <w:rPr>
                      <w:rFonts w:ascii="Cambria Math" w:hAnsi="Cambria Math"/>
                      <w:szCs w:val="24"/>
                      <w:lang w:val="en-US"/>
                    </w:rPr>
                    <m:t>=1</m:t>
                  </m:r>
                </m:den>
              </m:f>
              <m:ctrlPr>
                <w:rPr>
                  <w:rFonts w:ascii="Cambria Math" w:hAnsi="Cambria Math"/>
                  <w:szCs w:val="24"/>
                  <w:lang w:val="en-US"/>
                </w:rPr>
              </m:ctrlPr>
            </m:e>
          </m:d>
          <m:r>
            <m:rPr>
              <m:sty m:val="b"/>
            </m:rPr>
            <w:rPr>
              <w:rFonts w:ascii="Cambria Math" w:hAnsi="Cambria Math"/>
              <w:szCs w:val="24"/>
              <w:lang w:val="en-US"/>
            </w:rPr>
            <m:t>-</m:t>
          </m:r>
          <m:r>
            <m:rPr>
              <m:sty m:val="bi"/>
            </m:rPr>
            <w:rPr>
              <w:rFonts w:ascii="Cambria Math" w:hAnsi="Cambria Math"/>
              <w:szCs w:val="24"/>
              <w:lang w:val="en-US"/>
            </w:rPr>
            <m:t>E</m:t>
          </m:r>
          <m:d>
            <m:dPr>
              <m:ctrlPr>
                <w:rPr>
                  <w:rFonts w:ascii="Cambria Math" w:hAnsi="Cambria Math"/>
                  <w:i/>
                  <w:szCs w:val="24"/>
                  <w:lang w:val="en-US"/>
                </w:rPr>
              </m:ctrlPr>
            </m:dPr>
            <m:e>
              <m:f>
                <m:fPr>
                  <m:type m:val="lin"/>
                  <m:ctrlPr>
                    <w:rPr>
                      <w:rFonts w:ascii="Cambria Math" w:hAnsi="Cambria Math"/>
                      <w:i/>
                      <w:szCs w:val="24"/>
                      <w:lang w:val="en-US"/>
                    </w:rPr>
                  </m:ctrlPr>
                </m:fPr>
                <m:num>
                  <m:sSub>
                    <m:sSubPr>
                      <m:ctrlPr>
                        <w:rPr>
                          <w:rFonts w:ascii="Cambria Math" w:hAnsi="Cambria Math"/>
                          <w:i/>
                          <w:szCs w:val="24"/>
                          <w:lang w:val="en-US"/>
                        </w:rPr>
                      </m:ctrlPr>
                    </m:sSubPr>
                    <m:e>
                      <m:r>
                        <m:rPr>
                          <m:sty m:val="bi"/>
                        </m:rPr>
                        <w:rPr>
                          <w:rFonts w:ascii="Cambria Math" w:hAnsi="Cambria Math"/>
                          <w:szCs w:val="24"/>
                          <w:lang w:val="en-US"/>
                        </w:rPr>
                        <m:t>Y</m:t>
                      </m:r>
                    </m:e>
                    <m:sub>
                      <m:r>
                        <m:rPr>
                          <m:sty m:val="bi"/>
                        </m:rPr>
                        <w:rPr>
                          <w:rFonts w:ascii="Cambria Math" w:hAnsi="Cambria Math"/>
                          <w:szCs w:val="24"/>
                          <w:lang w:val="en-US"/>
                        </w:rPr>
                        <m:t>i</m:t>
                      </m:r>
                      <m:r>
                        <m:rPr>
                          <m:sty m:val="bi"/>
                        </m:rPr>
                        <w:rPr>
                          <w:rFonts w:ascii="Cambria Math" w:hAnsi="Cambria Math"/>
                          <w:szCs w:val="24"/>
                          <w:lang w:val="en-US"/>
                        </w:rPr>
                        <m:t>0</m:t>
                      </m:r>
                    </m:sub>
                  </m:sSub>
                </m:num>
                <m:den>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i"/>
                    </m:rPr>
                    <w:rPr>
                      <w:rFonts w:ascii="Cambria Math" w:hAnsi="Cambria Math"/>
                      <w:szCs w:val="24"/>
                      <w:lang w:val="en-US"/>
                    </w:rPr>
                    <m:t>=1</m:t>
                  </m:r>
                </m:den>
              </m:f>
              <m:ctrlPr>
                <w:rPr>
                  <w:rFonts w:ascii="Cambria Math" w:hAnsi="Cambria Math"/>
                  <w:szCs w:val="24"/>
                  <w:lang w:val="en-US"/>
                </w:rPr>
              </m:ctrlPr>
            </m:e>
          </m:d>
          <m:r>
            <m:rPr>
              <m:sty m:val="bi"/>
            </m:rPr>
            <w:rPr>
              <w:rFonts w:ascii="Cambria Math" w:hAnsi="Cambria Math"/>
              <w:szCs w:val="24"/>
              <w:lang w:val="en-US"/>
            </w:rPr>
            <m:t xml:space="preserve">              (2)            </m:t>
          </m:r>
        </m:oMath>
      </m:oMathPara>
    </w:p>
    <w:p w14:paraId="549C286A" w14:textId="77777777" w:rsidR="006F27F3" w:rsidRPr="00B857D2" w:rsidRDefault="006F27F3" w:rsidP="006F27F3">
      <w:pPr>
        <w:rPr>
          <w:rFonts w:eastAsiaTheme="minorEastAsia"/>
          <w:szCs w:val="24"/>
          <w:lang w:val="en-US"/>
        </w:rPr>
      </w:pPr>
      <m:oMathPara>
        <m:oMath>
          <m:r>
            <m:rPr>
              <m:sty m:val="bi"/>
            </m:rPr>
            <w:rPr>
              <w:rFonts w:ascii="Cambria Math" w:hAnsi="Cambria Math"/>
              <w:szCs w:val="24"/>
              <w:lang w:val="en-US"/>
            </w:rPr>
            <m:t xml:space="preserve">         </m:t>
          </m:r>
        </m:oMath>
      </m:oMathPara>
    </w:p>
    <w:p w14:paraId="05C73F1B" w14:textId="69F3A471" w:rsidR="006F27F3" w:rsidRPr="00B857D2" w:rsidRDefault="006F27F3" w:rsidP="006F27F3">
      <w:pPr>
        <w:rPr>
          <w:b/>
          <w:szCs w:val="24"/>
          <w:lang w:val="en-US"/>
        </w:rPr>
      </w:pPr>
      <w:r w:rsidRPr="00016AA6">
        <w:rPr>
          <w:szCs w:val="24"/>
          <w:lang w:val="en-US" w:eastAsia="es-AR"/>
        </w:rPr>
        <w:t xml:space="preserve">Evaluating the impact of </w:t>
      </w:r>
      <w:r w:rsidRPr="00016AA6">
        <w:rPr>
          <w:szCs w:val="24"/>
          <w:lang w:val="en-US"/>
        </w:rPr>
        <w:t xml:space="preserve">training </w:t>
      </w:r>
      <w:r w:rsidRPr="00016AA6">
        <w:rPr>
          <w:szCs w:val="24"/>
          <w:lang w:val="en-US" w:eastAsia="es-AR"/>
        </w:rPr>
        <w:t>means to answer the following questions: What would have</w:t>
      </w:r>
      <w:r w:rsidRPr="00B857D2">
        <w:rPr>
          <w:szCs w:val="24"/>
          <w:lang w:val="en-US" w:eastAsia="es-AR"/>
        </w:rPr>
        <w:t xml:space="preserve"> happened if </w:t>
      </w:r>
      <w:r w:rsidRPr="00B857D2">
        <w:rPr>
          <w:szCs w:val="24"/>
          <w:lang w:val="en-US"/>
        </w:rPr>
        <w:t>training</w:t>
      </w:r>
      <w:r w:rsidRPr="00B857D2">
        <w:rPr>
          <w:szCs w:val="24"/>
          <w:lang w:val="en-US" w:eastAsia="es-AR"/>
        </w:rPr>
        <w:t xml:space="preserve"> had not been conducted? What would have happened with the productivity and wage level</w:t>
      </w:r>
      <w:r>
        <w:rPr>
          <w:b/>
          <w:szCs w:val="24"/>
          <w:lang w:val="en-US" w:eastAsia="es-AR"/>
        </w:rPr>
        <w:t>s</w:t>
      </w:r>
      <w:r w:rsidRPr="00B857D2">
        <w:rPr>
          <w:szCs w:val="24"/>
          <w:lang w:val="en-US" w:eastAsia="es-AR"/>
        </w:rPr>
        <w:t xml:space="preserve"> of firm </w:t>
      </w:r>
      <w:proofErr w:type="spellStart"/>
      <w:r w:rsidRPr="00B857D2">
        <w:rPr>
          <w:szCs w:val="24"/>
          <w:lang w:val="en-US" w:eastAsia="es-AR"/>
        </w:rPr>
        <w:t>i</w:t>
      </w:r>
      <w:proofErr w:type="spellEnd"/>
      <w:r w:rsidRPr="00B857D2">
        <w:rPr>
          <w:szCs w:val="24"/>
          <w:lang w:val="en-US" w:eastAsia="es-AR"/>
        </w:rPr>
        <w:t xml:space="preserve"> in absence of those activities? To know the effect of training we must compare the observed outcome with the outcome that would have resulted if the firm had not </w:t>
      </w:r>
      <w:r>
        <w:rPr>
          <w:szCs w:val="24"/>
          <w:lang w:val="en-US"/>
        </w:rPr>
        <w:lastRenderedPageBreak/>
        <w:t>trained their workers</w:t>
      </w:r>
      <w:r w:rsidRPr="00B857D2">
        <w:rPr>
          <w:szCs w:val="24"/>
          <w:lang w:val="en-US" w:eastAsia="es-AR"/>
        </w:rPr>
        <w:t>.</w:t>
      </w:r>
      <w:r w:rsidRPr="00B857D2">
        <w:rPr>
          <w:szCs w:val="24"/>
          <w:lang w:val="en-US"/>
        </w:rPr>
        <w:t xml:space="preserve"> However</w:t>
      </w:r>
      <w:r>
        <w:rPr>
          <w:b/>
          <w:szCs w:val="24"/>
          <w:lang w:val="en-US"/>
        </w:rPr>
        <w:t>,</w:t>
      </w:r>
      <w:r w:rsidRPr="00B857D2">
        <w:rPr>
          <w:rFonts w:eastAsiaTheme="minorEastAsia"/>
          <w:szCs w:val="24"/>
          <w:lang w:val="en-US"/>
        </w:rPr>
        <w:t xml:space="preserve"> we hav</w:t>
      </w:r>
      <w:r w:rsidRPr="002C06F5">
        <w:rPr>
          <w:rFonts w:eastAsiaTheme="minorEastAsia"/>
          <w:szCs w:val="24"/>
          <w:lang w:val="en-US"/>
        </w:rPr>
        <w:t xml:space="preserve">e </w:t>
      </w:r>
      <w:r w:rsidRPr="00F927C9">
        <w:rPr>
          <w:rFonts w:eastAsiaTheme="minorEastAsia"/>
          <w:szCs w:val="24"/>
          <w:lang w:val="en-US"/>
        </w:rPr>
        <w:t>the</w:t>
      </w:r>
      <w:r w:rsidRPr="00B857D2">
        <w:rPr>
          <w:rFonts w:eastAsiaTheme="minorEastAsia"/>
          <w:szCs w:val="24"/>
          <w:lang w:val="en-US"/>
        </w:rPr>
        <w:t xml:space="preserve"> problem of missing data because </w:t>
      </w:r>
      <w:r w:rsidRPr="00B857D2">
        <w:rPr>
          <w:szCs w:val="24"/>
          <w:lang w:val="en-US"/>
        </w:rPr>
        <w:t>the potential outcome of the control group</w:t>
      </w:r>
      <w:proofErr w:type="gramStart"/>
      <w:r w:rsidRPr="00B857D2">
        <w:rPr>
          <w:szCs w:val="24"/>
          <w:lang w:val="en-US"/>
        </w:rPr>
        <w:t>,</w:t>
      </w:r>
      <w:r w:rsidRPr="00B857D2">
        <w:rPr>
          <w:rFonts w:eastAsiaTheme="minorEastAsia"/>
          <w:szCs w:val="24"/>
          <w:lang w:val="en-US"/>
        </w:rPr>
        <w:t xml:space="preserve"> </w:t>
      </w:r>
      <w:proofErr w:type="gramEnd"/>
      <m:oMath>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m:t>
        </m:r>
      </m:oMath>
      <w:r w:rsidRPr="00B857D2">
        <w:rPr>
          <w:rFonts w:eastAsiaTheme="minorEastAsia"/>
          <w:szCs w:val="24"/>
          <w:lang w:val="en-US"/>
        </w:rPr>
        <w:t xml:space="preserve">, cannot be measured. This potential outcome is called </w:t>
      </w:r>
      <w:r w:rsidRPr="00B857D2">
        <w:rPr>
          <w:rFonts w:eastAsiaTheme="minorEastAsia"/>
          <w:i/>
          <w:szCs w:val="24"/>
          <w:lang w:val="en-US"/>
        </w:rPr>
        <w:t>counterfactual</w:t>
      </w:r>
      <w:r w:rsidRPr="00B857D2">
        <w:rPr>
          <w:rFonts w:eastAsiaTheme="minorEastAsia"/>
          <w:szCs w:val="24"/>
          <w:lang w:val="en-US"/>
        </w:rPr>
        <w:t xml:space="preserve"> and must be estimated as the average outcome of those firms that did not </w:t>
      </w:r>
      <w:r w:rsidRPr="00B857D2">
        <w:rPr>
          <w:szCs w:val="24"/>
          <w:lang w:val="en-US"/>
        </w:rPr>
        <w:t>conduct training activities</w:t>
      </w:r>
      <w:proofErr w:type="gramStart"/>
      <w:r w:rsidRPr="00B857D2">
        <w:rPr>
          <w:rFonts w:eastAsiaTheme="minorEastAsia"/>
          <w:szCs w:val="24"/>
          <w:lang w:val="en-US"/>
        </w:rPr>
        <w:t xml:space="preserve">, </w:t>
      </w:r>
      <w:proofErr w:type="gramEnd"/>
      <m:oMath>
        <m:acc>
          <m:accPr>
            <m:ctrlPr>
              <w:rPr>
                <w:rFonts w:ascii="Cambria Math" w:hAnsi="Cambria Math"/>
                <w:i/>
                <w:lang w:val="en-US"/>
              </w:rPr>
            </m:ctrlPr>
          </m:accPr>
          <m:e>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e>
        </m:acc>
      </m:oMath>
      <w:r w:rsidRPr="00B857D2">
        <w:rPr>
          <w:rFonts w:eastAsiaTheme="minorEastAsia"/>
          <w:lang w:val="en-US"/>
        </w:rPr>
        <w:t>.</w:t>
      </w:r>
      <w:r w:rsidRPr="00B857D2">
        <w:rPr>
          <w:rFonts w:eastAsiaTheme="minorEastAsia"/>
          <w:szCs w:val="24"/>
          <w:lang w:val="en-US"/>
        </w:rPr>
        <w:t xml:space="preserve"> According to that, the</w:t>
      </w:r>
      <w:r>
        <w:rPr>
          <w:rFonts w:eastAsiaTheme="minorEastAsia"/>
          <w:szCs w:val="24"/>
          <w:lang w:val="en-US"/>
        </w:rPr>
        <w:t xml:space="preserve"> equation</w:t>
      </w:r>
      <w:r w:rsidRPr="00B857D2">
        <w:rPr>
          <w:rFonts w:eastAsiaTheme="minorEastAsia"/>
          <w:szCs w:val="24"/>
          <w:lang w:val="en-US"/>
        </w:rPr>
        <w:t xml:space="preserve"> of average treatment effect on the treated group is defined as follows:</w:t>
      </w:r>
    </w:p>
    <w:p w14:paraId="47CCA50E" w14:textId="77777777" w:rsidR="006F27F3" w:rsidRPr="00B857D2" w:rsidRDefault="006F27F3" w:rsidP="006F27F3">
      <w:pPr>
        <w:jc w:val="right"/>
        <w:rPr>
          <w:rFonts w:eastAsiaTheme="minorEastAsia"/>
          <w:b/>
          <w:lang w:val="en-US"/>
        </w:rPr>
      </w:pPr>
      <m:oMath>
        <m:r>
          <m:rPr>
            <m:sty m:val="b"/>
          </m:rPr>
          <w:rPr>
            <w:rFonts w:ascii="Cambria Math" w:hAnsi="Cambria Math"/>
            <w:lang w:val="en-US"/>
          </w:rPr>
          <m:t>E(</m:t>
        </m:r>
        <m:sSub>
          <m:sSubPr>
            <m:ctrlPr>
              <w:rPr>
                <w:rFonts w:ascii="Cambria Math" w:hAnsi="Cambria Math"/>
                <w:lang w:val="en-US"/>
              </w:rPr>
            </m:ctrlPr>
          </m:sSubPr>
          <m:e>
            <m:r>
              <m:rPr>
                <m:sty m:val="bi"/>
              </m:rPr>
              <w:rPr>
                <w:rFonts w:ascii="Cambria Math" w:hAnsi="Cambria Math"/>
                <w:lang w:val="en-US"/>
              </w:rPr>
              <m:t>α</m:t>
            </m:r>
          </m:e>
          <m:sub>
            <m:r>
              <m:rPr>
                <m:sty m:val="bi"/>
              </m:rPr>
              <w:rPr>
                <w:rFonts w:ascii="Cambria Math" w:hAnsi="Cambria Math"/>
                <w:lang w:val="en-US"/>
              </w:rPr>
              <m:t>TT</m:t>
            </m:r>
          </m:sub>
        </m:sSub>
        <m:r>
          <m:rPr>
            <m:sty m:val="bi"/>
          </m:rPr>
          <w:rPr>
            <w:rFonts w:ascii="Cambria Math" w:hAnsi="Cambria Math"/>
            <w:lang w:val="en-US"/>
          </w:rPr>
          <m:t>)=E</m:t>
        </m:r>
        <m:d>
          <m:dPr>
            <m:begChr m:val="["/>
            <m:endChr m:val="]"/>
            <m:ctrlPr>
              <w:rPr>
                <w:rFonts w:ascii="Cambria Math" w:hAnsi="Cambria Math"/>
                <w:i/>
                <w:lang w:val="en-US"/>
              </w:rPr>
            </m:ctrlPr>
          </m:dPr>
          <m:e>
            <m:d>
              <m:dPr>
                <m:ctrlPr>
                  <w:rPr>
                    <w:rFonts w:ascii="Cambria Math" w:hAnsi="Cambria Math"/>
                    <w:i/>
                    <w:lang w:val="en-US"/>
                  </w:rPr>
                </m:ctrlPr>
              </m:dPr>
              <m:e>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1</m:t>
                    </m:r>
                  </m:sub>
                </m:sSub>
                <m:r>
                  <m:rPr>
                    <m:sty m:val="bi"/>
                  </m:rPr>
                  <w:rPr>
                    <w:rFonts w:ascii="Cambria Math" w:hAnsi="Cambria Math"/>
                    <w:lang w:val="en-US"/>
                  </w:rPr>
                  <m:t>-</m:t>
                </m:r>
                <m:acc>
                  <m:accPr>
                    <m:ctrlPr>
                      <w:rPr>
                        <w:rFonts w:ascii="Cambria Math" w:hAnsi="Cambria Math"/>
                        <w:i/>
                        <w:lang w:val="en-US"/>
                      </w:rPr>
                    </m:ctrlPr>
                  </m:accPr>
                  <m:e>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e>
                </m:acc>
              </m:e>
            </m:d>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m:t>
            </m:r>
          </m:e>
        </m:d>
      </m:oMath>
      <w:r w:rsidRPr="00B857D2">
        <w:rPr>
          <w:rFonts w:eastAsiaTheme="minorEastAsia"/>
          <w:lang w:val="en-US"/>
        </w:rPr>
        <w:t xml:space="preserve">                                               (3)</w:t>
      </w:r>
    </w:p>
    <w:p w14:paraId="10E4F769" w14:textId="77777777" w:rsidR="006F27F3" w:rsidRPr="00B857D2" w:rsidRDefault="006F27F3" w:rsidP="006F27F3">
      <w:pPr>
        <w:rPr>
          <w:rFonts w:eastAsiaTheme="minorEastAsia"/>
          <w:b/>
          <w:szCs w:val="24"/>
          <w:lang w:val="en-US"/>
        </w:rPr>
      </w:pPr>
      <w:r w:rsidRPr="00B857D2">
        <w:rPr>
          <w:szCs w:val="24"/>
          <w:lang w:val="en-US"/>
        </w:rPr>
        <w:t xml:space="preserve">As firms having conducted training activities are not randomly determined, we cannot rule out the possibility of selection bias when we estimate the impact of Di on Yi. </w:t>
      </w:r>
      <w:r w:rsidRPr="00016AA6">
        <w:rPr>
          <w:szCs w:val="24"/>
          <w:lang w:val="en-US"/>
        </w:rPr>
        <w:t>Neither can we</w:t>
      </w:r>
      <w:r w:rsidRPr="00B857D2">
        <w:rPr>
          <w:szCs w:val="24"/>
          <w:lang w:val="en-US"/>
        </w:rPr>
        <w:t xml:space="preserve"> measure the counterfactual outcome using the average of firms that do not receive matching treatment</w:t>
      </w:r>
      <w:proofErr w:type="gramStart"/>
      <w:r w:rsidRPr="00B857D2">
        <w:rPr>
          <w:szCs w:val="24"/>
          <w:lang w:val="en-US"/>
        </w:rPr>
        <w:t xml:space="preserve">, </w:t>
      </w:r>
      <w:proofErr w:type="gramEnd"/>
      <m:oMath>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m:t>
        </m:r>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=0)</m:t>
        </m:r>
      </m:oMath>
      <w:r w:rsidRPr="00B857D2">
        <w:rPr>
          <w:rFonts w:eastAsiaTheme="minorEastAsia"/>
          <w:szCs w:val="24"/>
          <w:lang w:val="en-US"/>
        </w:rPr>
        <w:t xml:space="preserve">. To overcome this selection problem we use the </w:t>
      </w:r>
      <w:r w:rsidRPr="002540AE">
        <w:rPr>
          <w:rFonts w:eastAsiaTheme="minorEastAsia"/>
          <w:i/>
          <w:szCs w:val="24"/>
          <w:lang w:val="en-US"/>
        </w:rPr>
        <w:t>conditional independence assumption</w:t>
      </w:r>
      <w:r w:rsidRPr="002540AE">
        <w:rPr>
          <w:rFonts w:eastAsiaTheme="minorEastAsia"/>
          <w:szCs w:val="24"/>
          <w:lang w:val="en-US"/>
        </w:rPr>
        <w:t xml:space="preserve"> (Rubin, 1977) which states that both the participation and</w:t>
      </w:r>
      <w:r w:rsidRPr="00B857D2">
        <w:rPr>
          <w:rFonts w:eastAsiaTheme="minorEastAsia"/>
          <w:szCs w:val="24"/>
          <w:lang w:val="en-US"/>
        </w:rPr>
        <w:t xml:space="preserve"> potential outcome are statistically independent for firms with the same set of exogenous characteristics, X. Following this assumption it is possible to say that </w:t>
      </w:r>
      <m:oMath>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=1,X)=</m:t>
        </m:r>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 xml:space="preserve">=0, X) </m:t>
        </m:r>
      </m:oMath>
      <w:r w:rsidRPr="00B857D2">
        <w:rPr>
          <w:rFonts w:eastAsiaTheme="minorEastAsia"/>
          <w:szCs w:val="24"/>
          <w:lang w:val="en-US"/>
        </w:rPr>
        <w:t>and the difference between both groups</w:t>
      </w:r>
      <w:r w:rsidRPr="0018012E">
        <w:rPr>
          <w:rFonts w:eastAsiaTheme="minorEastAsia"/>
          <w:szCs w:val="24"/>
          <w:lang w:val="en-US"/>
        </w:rPr>
        <w:t xml:space="preserve"> can only be assigned to </w:t>
      </w:r>
      <w:r w:rsidRPr="0018012E">
        <w:rPr>
          <w:szCs w:val="24"/>
          <w:lang w:val="en-US"/>
        </w:rPr>
        <w:t>training</w:t>
      </w:r>
      <w:r w:rsidRPr="0018012E">
        <w:rPr>
          <w:rFonts w:eastAsiaTheme="minorEastAsia"/>
          <w:szCs w:val="24"/>
          <w:lang w:val="en-US"/>
        </w:rPr>
        <w:t xml:space="preserve">. If the </w:t>
      </w:r>
      <w:r w:rsidRPr="0018012E">
        <w:rPr>
          <w:rFonts w:eastAsiaTheme="minorEastAsia"/>
          <w:i/>
          <w:szCs w:val="24"/>
          <w:lang w:val="en-US"/>
        </w:rPr>
        <w:t>conditional independence assum</w:t>
      </w:r>
      <w:r w:rsidRPr="00B857D2">
        <w:rPr>
          <w:rFonts w:eastAsiaTheme="minorEastAsia"/>
          <w:i/>
          <w:szCs w:val="24"/>
          <w:lang w:val="en-US"/>
        </w:rPr>
        <w:t>ption</w:t>
      </w:r>
      <w:r w:rsidRPr="00B857D2">
        <w:rPr>
          <w:rFonts w:eastAsiaTheme="minorEastAsia"/>
          <w:szCs w:val="24"/>
          <w:lang w:val="en-US"/>
        </w:rPr>
        <w:t xml:space="preserve"> holds, the </w:t>
      </w:r>
      <m:oMath>
        <m:sSub>
          <m:sSubPr>
            <m:ctrlPr>
              <w:rPr>
                <w:rFonts w:ascii="Cambria Math" w:hAnsi="Cambria Math"/>
                <w:lang w:val="en-US"/>
              </w:rPr>
            </m:ctrlPr>
          </m:sSubPr>
          <m:e>
            <m:r>
              <m:rPr>
                <m:sty m:val="bi"/>
              </m:rPr>
              <w:rPr>
                <w:rFonts w:ascii="Cambria Math" w:hAnsi="Cambria Math"/>
                <w:lang w:val="en-US"/>
              </w:rPr>
              <m:t>α</m:t>
            </m:r>
          </m:e>
          <m:sub>
            <m:r>
              <m:rPr>
                <m:sty m:val="bi"/>
              </m:rPr>
              <w:rPr>
                <w:rFonts w:ascii="Cambria Math" w:hAnsi="Cambria Math"/>
                <w:lang w:val="en-US"/>
              </w:rPr>
              <m:t>TT</m:t>
            </m:r>
          </m:sub>
        </m:sSub>
      </m:oMath>
      <w:r w:rsidRPr="00B857D2">
        <w:rPr>
          <w:rFonts w:eastAsiaTheme="minorEastAsia"/>
          <w:szCs w:val="24"/>
          <w:lang w:val="en-US"/>
        </w:rPr>
        <w:t xml:space="preserve"> can be written as:</w:t>
      </w:r>
    </w:p>
    <w:p w14:paraId="3AF42B25" w14:textId="77777777" w:rsidR="006F27F3" w:rsidRPr="00B857D2" w:rsidRDefault="006F27F3" w:rsidP="006F27F3">
      <w:pPr>
        <w:jc w:val="right"/>
        <w:rPr>
          <w:rFonts w:eastAsiaTheme="minorEastAsia"/>
          <w:b/>
          <w:szCs w:val="24"/>
          <w:lang w:val="en-US"/>
        </w:rPr>
      </w:pPr>
      <m:oMath>
        <m:r>
          <m:rPr>
            <m:sty m:val="b"/>
          </m:rPr>
          <w:rPr>
            <w:rFonts w:ascii="Cambria Math" w:hAnsi="Cambria Math"/>
            <w:lang w:val="en-US"/>
          </w:rPr>
          <m:t>E</m:t>
        </m:r>
        <m:d>
          <m:dPr>
            <m:ctrlPr>
              <w:rPr>
                <w:rFonts w:ascii="Cambria Math" w:hAnsi="Cambria Math"/>
                <w:lang w:val="en-US"/>
              </w:rPr>
            </m:ctrlPr>
          </m:dPr>
          <m:e>
            <m:sSub>
              <m:sSubPr>
                <m:ctrlPr>
                  <w:rPr>
                    <w:rFonts w:ascii="Cambria Math" w:hAnsi="Cambria Math"/>
                    <w:lang w:val="en-US"/>
                  </w:rPr>
                </m:ctrlPr>
              </m:sSubPr>
              <m:e>
                <m:r>
                  <m:rPr>
                    <m:sty m:val="bi"/>
                  </m:rPr>
                  <w:rPr>
                    <w:rFonts w:ascii="Cambria Math" w:hAnsi="Cambria Math"/>
                    <w:lang w:val="en-US"/>
                  </w:rPr>
                  <m:t>α</m:t>
                </m:r>
              </m:e>
              <m:sub>
                <m:r>
                  <m:rPr>
                    <m:sty m:val="bi"/>
                  </m:rPr>
                  <w:rPr>
                    <w:rFonts w:ascii="Cambria Math" w:hAnsi="Cambria Math"/>
                    <w:lang w:val="en-US"/>
                  </w:rPr>
                  <m:t>TT</m:t>
                </m:r>
              </m:sub>
            </m:sSub>
            <m:ctrlPr>
              <w:rPr>
                <w:rFonts w:ascii="Cambria Math" w:hAnsi="Cambria Math"/>
                <w:i/>
                <w:lang w:val="en-US"/>
              </w:rPr>
            </m:ctrlPr>
          </m:e>
        </m:d>
        <m:r>
          <m:rPr>
            <m:sty m:val="bi"/>
          </m:rPr>
          <w:rPr>
            <w:rFonts w:ascii="Cambria Math" w:hAnsi="Cambria Math"/>
            <w:lang w:val="en-US"/>
          </w:rPr>
          <m:t>= 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=1,X=x)-</m:t>
        </m:r>
        <m:r>
          <m:rPr>
            <m:sty m:val="bi"/>
          </m:rPr>
          <w:rPr>
            <w:rFonts w:ascii="Cambria Math" w:hAnsi="Cambria Math"/>
            <w:lang w:val="en-US"/>
          </w:rPr>
          <m:t>E(</m:t>
        </m:r>
        <m:sSub>
          <m:sSubPr>
            <m:ctrlPr>
              <w:rPr>
                <w:rFonts w:ascii="Cambria Math" w:hAnsi="Cambria Math"/>
                <w:i/>
                <w:lang w:val="en-US"/>
              </w:rPr>
            </m:ctrlPr>
          </m:sSubPr>
          <m:e>
            <m:r>
              <m:rPr>
                <m:sty m:val="bi"/>
              </m:rPr>
              <w:rPr>
                <w:rFonts w:ascii="Cambria Math" w:hAnsi="Cambria Math"/>
                <w:lang w:val="en-US"/>
              </w:rPr>
              <m:t>Y</m:t>
            </m:r>
          </m:e>
          <m:sub>
            <m:r>
              <m:rPr>
                <m:sty m:val="bi"/>
              </m:rPr>
              <w:rPr>
                <w:rFonts w:ascii="Cambria Math" w:hAnsi="Cambria Math"/>
                <w:lang w:val="en-US"/>
              </w:rPr>
              <m:t>i</m:t>
            </m:r>
            <m:r>
              <m:rPr>
                <m:sty m:val="bi"/>
              </m:rPr>
              <w:rPr>
                <w:rFonts w:ascii="Cambria Math" w:hAnsi="Cambria Math"/>
                <w:lang w:val="en-US"/>
              </w:rPr>
              <m:t>0</m:t>
            </m:r>
          </m:sub>
        </m:sSub>
        <m:r>
          <m:rPr>
            <m:sty m:val="bi"/>
          </m:rPr>
          <w:rPr>
            <w:rFonts w:ascii="Cambria Math" w:hAnsi="Cambria Math"/>
            <w:lang w:val="en-US"/>
          </w:rPr>
          <m:t>/</m:t>
        </m:r>
        <m:sSub>
          <m:sSubPr>
            <m:ctrlPr>
              <w:rPr>
                <w:rFonts w:ascii="Cambria Math" w:hAnsi="Cambria Math"/>
                <w:szCs w:val="24"/>
                <w:lang w:val="en-US"/>
              </w:rPr>
            </m:ctrlPr>
          </m:sSubPr>
          <m:e>
            <m:r>
              <m:rPr>
                <m:sty m:val="b"/>
              </m:rPr>
              <w:rPr>
                <w:rFonts w:ascii="Cambria Math" w:hAnsi="Cambria Math"/>
                <w:szCs w:val="24"/>
                <w:lang w:val="en-US"/>
              </w:rPr>
              <m:t>D</m:t>
            </m:r>
          </m:e>
          <m:sub>
            <m:r>
              <m:rPr>
                <m:sty m:val="b"/>
              </m:rPr>
              <w:rPr>
                <w:rFonts w:ascii="Cambria Math" w:hAnsi="Cambria Math"/>
                <w:szCs w:val="24"/>
                <w:lang w:val="en-US"/>
              </w:rPr>
              <m:t>i</m:t>
            </m:r>
          </m:sub>
        </m:sSub>
        <m:r>
          <m:rPr>
            <m:sty m:val="b"/>
          </m:rPr>
          <w:rPr>
            <w:rFonts w:ascii="Cambria Math" w:hAnsi="Cambria Math"/>
            <w:szCs w:val="24"/>
            <w:lang w:val="en-US"/>
          </w:rPr>
          <m:t>=0, X=x)</m:t>
        </m:r>
      </m:oMath>
      <w:r w:rsidRPr="00B857D2">
        <w:rPr>
          <w:rFonts w:eastAsiaTheme="minorEastAsia"/>
          <w:szCs w:val="24"/>
          <w:lang w:val="en-US"/>
        </w:rPr>
        <w:t xml:space="preserve">                    (4)</w:t>
      </w:r>
    </w:p>
    <w:p w14:paraId="44280687" w14:textId="77777777" w:rsidR="006F27F3" w:rsidRPr="00016AA6" w:rsidRDefault="006F27F3" w:rsidP="006F27F3">
      <w:pPr>
        <w:rPr>
          <w:rFonts w:eastAsiaTheme="minorEastAsia"/>
          <w:szCs w:val="24"/>
          <w:lang w:val="en-US"/>
        </w:rPr>
      </w:pPr>
      <w:r w:rsidRPr="00016AA6">
        <w:rPr>
          <w:szCs w:val="24"/>
          <w:lang w:val="en-US"/>
        </w:rPr>
        <w:t xml:space="preserve">Some key points are worth mentioning. One of them is the fact that </w:t>
      </w:r>
      <w:r w:rsidRPr="00016AA6">
        <w:rPr>
          <w:rFonts w:eastAsiaTheme="minorEastAsia"/>
          <w:szCs w:val="24"/>
          <w:lang w:val="en-US"/>
        </w:rPr>
        <w:t xml:space="preserve">overlapping between the control and treatment groups (control support) is necessary for the success of the matching estimator. The control group should contain at least one firm sufficiently similar for each firm in the treatment group. In practice, this requirement is satisfied by restricting the sample to a common support. To do this, the minimum and maximum thresholds are calculated, and then the observations which get a higher or lower propensity score than this threshold are eliminated. If the overlapping between samples is too small, the matching estimator is not applicable. </w:t>
      </w:r>
    </w:p>
    <w:p w14:paraId="4E8F4BF3" w14:textId="77777777" w:rsidR="006F27F3" w:rsidRPr="00B857D2" w:rsidRDefault="006F27F3" w:rsidP="006F27F3">
      <w:pPr>
        <w:rPr>
          <w:rFonts w:eastAsiaTheme="minorEastAsia"/>
          <w:b/>
          <w:szCs w:val="24"/>
          <w:lang w:val="en-US"/>
        </w:rPr>
      </w:pPr>
      <w:r w:rsidRPr="00B857D2">
        <w:rPr>
          <w:rFonts w:eastAsiaTheme="minorEastAsia"/>
          <w:szCs w:val="24"/>
          <w:lang w:val="en-US"/>
        </w:rPr>
        <w:t xml:space="preserve">The matching technique must face another challenge named “the course of dimensionality”. The number of exogenous factors which affect both the treatment and the outcome variable could be excessively large to find a perfect match for each firm in the control group.  On the </w:t>
      </w:r>
      <w:r w:rsidRPr="002540AE">
        <w:rPr>
          <w:rFonts w:eastAsiaTheme="minorEastAsia"/>
          <w:szCs w:val="24"/>
          <w:lang w:val="en-US"/>
        </w:rPr>
        <w:t xml:space="preserve">other hand, a too small set of covariates makes the matching not possible. </w:t>
      </w:r>
      <w:r w:rsidRPr="008B1E10">
        <w:rPr>
          <w:rFonts w:eastAsiaTheme="minorEastAsia"/>
          <w:szCs w:val="24"/>
          <w:lang w:val="en-US"/>
        </w:rPr>
        <w:t>Rosenbaum and Rubin (1983)</w:t>
      </w:r>
      <w:r w:rsidRPr="002540AE">
        <w:rPr>
          <w:rFonts w:eastAsiaTheme="minorEastAsia"/>
          <w:szCs w:val="24"/>
          <w:lang w:val="en-US"/>
        </w:rPr>
        <w:t xml:space="preserve"> suggested the use of a propensity score as a single index to reduce the number of</w:t>
      </w:r>
      <w:r w:rsidRPr="00B857D2">
        <w:rPr>
          <w:rFonts w:eastAsiaTheme="minorEastAsia"/>
          <w:szCs w:val="24"/>
          <w:lang w:val="en-US"/>
        </w:rPr>
        <w:t xml:space="preserve"> variables included in the matching function to just one. Thus, the matching procedure conceived as a multi-dimensional problem is reduced to a one-dimensional problem. Therefore a </w:t>
      </w:r>
      <w:proofErr w:type="spellStart"/>
      <w:r w:rsidRPr="00B857D2">
        <w:rPr>
          <w:rFonts w:eastAsiaTheme="minorEastAsia"/>
          <w:szCs w:val="24"/>
          <w:lang w:val="en-US"/>
        </w:rPr>
        <w:t>Probit</w:t>
      </w:r>
      <w:proofErr w:type="spellEnd"/>
      <w:r w:rsidRPr="00B857D2">
        <w:rPr>
          <w:rFonts w:eastAsiaTheme="minorEastAsia"/>
          <w:szCs w:val="24"/>
          <w:lang w:val="en-US"/>
        </w:rPr>
        <w:t xml:space="preserve"> model is estimated on the dummy indicating </w:t>
      </w:r>
      <w:r w:rsidRPr="00B857D2">
        <w:rPr>
          <w:szCs w:val="24"/>
          <w:lang w:val="en-US"/>
        </w:rPr>
        <w:t>training activities</w:t>
      </w:r>
      <w:r w:rsidRPr="00B857D2">
        <w:rPr>
          <w:rFonts w:eastAsiaTheme="minorEastAsia"/>
          <w:szCs w:val="24"/>
          <w:lang w:val="en-US"/>
        </w:rPr>
        <w:t>. The estimated propensity scores are subsequently used as a matching argument.</w:t>
      </w:r>
    </w:p>
    <w:p w14:paraId="6A617A1F" w14:textId="77777777" w:rsidR="006F27F3" w:rsidRPr="00B857D2" w:rsidRDefault="006F27F3" w:rsidP="006F27F3">
      <w:pPr>
        <w:rPr>
          <w:rFonts w:eastAsiaTheme="minorEastAsia"/>
          <w:b/>
          <w:szCs w:val="24"/>
          <w:lang w:val="en-US"/>
        </w:rPr>
      </w:pPr>
      <w:r w:rsidRPr="00B857D2">
        <w:rPr>
          <w:rFonts w:eastAsiaTheme="minorEastAsia"/>
          <w:szCs w:val="24"/>
          <w:lang w:val="en-US"/>
        </w:rPr>
        <w:t xml:space="preserve">However, having an estimation of propensity score is not enough to solve the problem of the counterfactual outcome. Finding two firms with the exact propensity score is unlikely. The econometric literature </w:t>
      </w:r>
      <w:r>
        <w:rPr>
          <w:rFonts w:eastAsiaTheme="minorEastAsia"/>
          <w:szCs w:val="24"/>
          <w:lang w:val="en-US"/>
        </w:rPr>
        <w:t xml:space="preserve">about </w:t>
      </w:r>
      <w:r w:rsidRPr="00B857D2">
        <w:rPr>
          <w:rFonts w:eastAsiaTheme="minorEastAsia"/>
          <w:szCs w:val="24"/>
          <w:lang w:val="en-US"/>
        </w:rPr>
        <w:t xml:space="preserve">impact evaluation develops a number of matching procedures to overcome this problem such as Nearest </w:t>
      </w:r>
      <w:r w:rsidR="0018012E" w:rsidRPr="00B857D2">
        <w:rPr>
          <w:rFonts w:eastAsiaTheme="minorEastAsia"/>
          <w:szCs w:val="24"/>
          <w:lang w:val="en-US"/>
        </w:rPr>
        <w:t>Neighbor</w:t>
      </w:r>
      <w:r w:rsidRPr="00B857D2">
        <w:rPr>
          <w:rFonts w:eastAsiaTheme="minorEastAsia"/>
          <w:szCs w:val="24"/>
          <w:lang w:val="en-US"/>
        </w:rPr>
        <w:t xml:space="preserve"> and Kernel, among others. </w:t>
      </w:r>
      <w:r>
        <w:rPr>
          <w:rFonts w:eastAsiaTheme="minorEastAsia"/>
          <w:szCs w:val="24"/>
          <w:lang w:val="en-US"/>
        </w:rPr>
        <w:t xml:space="preserve">We use </w:t>
      </w:r>
      <w:r w:rsidRPr="00B857D2">
        <w:rPr>
          <w:rFonts w:eastAsiaTheme="minorEastAsia"/>
          <w:szCs w:val="24"/>
          <w:lang w:val="en-US"/>
        </w:rPr>
        <w:t xml:space="preserve">Kernel matching because it is more appropriate to study small samples. In this procedure each firm of the control group is paired with a weighted average of all firms in the control group and the </w:t>
      </w:r>
      <w:r w:rsidRPr="00B857D2">
        <w:rPr>
          <w:rFonts w:eastAsiaTheme="minorEastAsia"/>
          <w:szCs w:val="24"/>
          <w:lang w:val="en-US"/>
        </w:rPr>
        <w:lastRenderedPageBreak/>
        <w:t>weights that they receive are inversely proportional to the distance it holds with the untreated firm.</w:t>
      </w:r>
    </w:p>
    <w:p w14:paraId="4847AC1E" w14:textId="77777777" w:rsidR="00FF6C5E" w:rsidRDefault="006F27F3" w:rsidP="00FF6C5E">
      <w:pPr>
        <w:rPr>
          <w:rFonts w:eastAsiaTheme="minorEastAsia"/>
          <w:szCs w:val="24"/>
          <w:lang w:val="en-US"/>
        </w:rPr>
      </w:pPr>
      <w:r w:rsidRPr="0018012E">
        <w:rPr>
          <w:rFonts w:eastAsiaTheme="minorEastAsia"/>
          <w:szCs w:val="24"/>
          <w:lang w:val="en-US"/>
        </w:rPr>
        <w:t xml:space="preserve">In summary, the objective of the procedure is building a control group employing matching techniques. This allows to control the observable difference between firms which have </w:t>
      </w:r>
      <w:r w:rsidRPr="0018012E">
        <w:rPr>
          <w:szCs w:val="24"/>
          <w:lang w:val="en-US"/>
        </w:rPr>
        <w:t>conducted training activities</w:t>
      </w:r>
      <w:r w:rsidRPr="0018012E">
        <w:rPr>
          <w:rFonts w:eastAsiaTheme="minorEastAsia"/>
          <w:szCs w:val="24"/>
          <w:lang w:val="en-US"/>
        </w:rPr>
        <w:t xml:space="preserve"> and those which have not, looking for pairs of firms from the treated and the control group. The idea is to balance</w:t>
      </w:r>
      <w:r w:rsidRPr="00016AA6">
        <w:rPr>
          <w:rFonts w:eastAsiaTheme="minorEastAsia"/>
          <w:szCs w:val="24"/>
          <w:lang w:val="en-US"/>
        </w:rPr>
        <w:t xml:space="preserve"> the sample between the two of them.</w:t>
      </w:r>
      <w:r w:rsidRPr="00B857D2">
        <w:rPr>
          <w:rFonts w:eastAsiaTheme="minorEastAsia"/>
          <w:szCs w:val="24"/>
          <w:lang w:val="en-US"/>
        </w:rPr>
        <w:t xml:space="preserve"> Remaining differences in the outcome variable between both groups are then attributed to the </w:t>
      </w:r>
      <w:r w:rsidRPr="00016AA6">
        <w:rPr>
          <w:rFonts w:eastAsiaTheme="minorEastAsia"/>
          <w:szCs w:val="24"/>
          <w:lang w:val="en-US"/>
        </w:rPr>
        <w:t xml:space="preserve">treatment. The main assumption underlying these steps is the proposition that </w:t>
      </w:r>
      <w:r w:rsidRPr="00016AA6">
        <w:rPr>
          <w:szCs w:val="24"/>
          <w:lang w:val="en-US"/>
        </w:rPr>
        <w:t>conducting training activities</w:t>
      </w:r>
      <w:r w:rsidRPr="00016AA6">
        <w:rPr>
          <w:rFonts w:eastAsiaTheme="minorEastAsia"/>
          <w:szCs w:val="24"/>
          <w:lang w:val="en-US"/>
        </w:rPr>
        <w:t xml:space="preserve"> is only determined by observable factors. If it is not the case, the impact evaluation will be biased. The source of this bias resides in the potential correlation between the unobservable variables that affect both having </w:t>
      </w:r>
      <w:r w:rsidRPr="00016AA6">
        <w:rPr>
          <w:szCs w:val="24"/>
          <w:lang w:val="en-US"/>
        </w:rPr>
        <w:t>conducting training activities</w:t>
      </w:r>
      <w:r w:rsidRPr="00016AA6">
        <w:rPr>
          <w:rFonts w:eastAsiaTheme="minorEastAsia"/>
          <w:szCs w:val="24"/>
          <w:lang w:val="en-US"/>
        </w:rPr>
        <w:t xml:space="preserve"> and their potential outcome on productivity and wages. However, given the availability of information and the fact that counterfactual information is never available, this technique has been proved to be robust in providing evidence about the impact of these type</w:t>
      </w:r>
      <w:r w:rsidR="00F60818">
        <w:rPr>
          <w:rFonts w:eastAsiaTheme="minorEastAsia"/>
          <w:szCs w:val="24"/>
          <w:lang w:val="en-US"/>
        </w:rPr>
        <w:t>s</w:t>
      </w:r>
      <w:r w:rsidRPr="00016AA6">
        <w:rPr>
          <w:rFonts w:eastAsiaTheme="minorEastAsia"/>
          <w:szCs w:val="24"/>
          <w:lang w:val="en-US"/>
        </w:rPr>
        <w:t xml:space="preserve"> of variables. It is also the technique commonly used in impact studies, which improves the comparability of this research.  </w:t>
      </w:r>
    </w:p>
    <w:p w14:paraId="52068B87" w14:textId="00A2DBB6" w:rsidR="00557850" w:rsidRPr="00F927C9" w:rsidRDefault="00557850" w:rsidP="00FF6C5E">
      <w:pPr>
        <w:rPr>
          <w:rFonts w:eastAsiaTheme="minorEastAsia"/>
          <w:szCs w:val="24"/>
          <w:lang w:val="en-US"/>
        </w:rPr>
      </w:pPr>
      <w:r>
        <w:rPr>
          <w:lang w:val="en-GB"/>
        </w:rPr>
        <w:t>In the second place, we apply</w:t>
      </w:r>
      <w:r w:rsidR="00FF6C5E">
        <w:rPr>
          <w:lang w:val="en-GB"/>
        </w:rPr>
        <w:t xml:space="preserve"> a parametric technique named </w:t>
      </w:r>
      <w:r>
        <w:rPr>
          <w:lang w:val="en-GB"/>
        </w:rPr>
        <w:t>doubly</w:t>
      </w:r>
      <w:r w:rsidR="00FF6C5E">
        <w:rPr>
          <w:lang w:val="en-GB"/>
        </w:rPr>
        <w:t>-</w:t>
      </w:r>
      <w:r>
        <w:rPr>
          <w:lang w:val="en-GB"/>
        </w:rPr>
        <w:t>robust estimat</w:t>
      </w:r>
      <w:r w:rsidR="00FF6C5E">
        <w:rPr>
          <w:lang w:val="en-GB"/>
        </w:rPr>
        <w:t>ors</w:t>
      </w:r>
      <w:r>
        <w:rPr>
          <w:lang w:val="en-GB"/>
        </w:rPr>
        <w:t xml:space="preserve"> proposed by </w:t>
      </w:r>
      <w:r w:rsidRPr="00F927C9">
        <w:rPr>
          <w:lang w:val="en-GB"/>
        </w:rPr>
        <w:t xml:space="preserve">Robins and </w:t>
      </w:r>
      <w:r>
        <w:rPr>
          <w:lang w:val="en-GB"/>
        </w:rPr>
        <w:t xml:space="preserve">other </w:t>
      </w:r>
      <w:r w:rsidRPr="00F927C9">
        <w:rPr>
          <w:lang w:val="en-GB"/>
        </w:rPr>
        <w:t xml:space="preserve">colleagues (Bang and Robins 2005; Robins, </w:t>
      </w:r>
      <w:proofErr w:type="spellStart"/>
      <w:r w:rsidRPr="00F927C9">
        <w:rPr>
          <w:lang w:val="en-GB"/>
        </w:rPr>
        <w:t>Rotnitzky</w:t>
      </w:r>
      <w:proofErr w:type="spellEnd"/>
      <w:r w:rsidRPr="00F927C9">
        <w:rPr>
          <w:lang w:val="en-GB"/>
        </w:rPr>
        <w:t>, and Zhao 1995; Robins 2000)</w:t>
      </w:r>
      <w:r>
        <w:rPr>
          <w:lang w:val="en-GB"/>
        </w:rPr>
        <w:t>. Th</w:t>
      </w:r>
      <w:r w:rsidR="00FF6C5E">
        <w:rPr>
          <w:lang w:val="en-GB"/>
        </w:rPr>
        <w:t>is estimator require combine</w:t>
      </w:r>
      <w:r w:rsidRPr="00F927C9">
        <w:rPr>
          <w:lang w:val="en-GB"/>
        </w:rPr>
        <w:t xml:space="preserve"> in the same estimator</w:t>
      </w:r>
      <w:r w:rsidR="00FF6C5E">
        <w:rPr>
          <w:lang w:val="en-GB"/>
        </w:rPr>
        <w:t>, the model for estimating the propensity score and the model for estimating the outcome variable</w:t>
      </w:r>
      <w:r w:rsidRPr="00F927C9">
        <w:rPr>
          <w:lang w:val="en-GB"/>
        </w:rPr>
        <w:t>. The advantage these estimators offer is that they give unbiased estimates of the treatment effect when either one or both of these constituent models are correctly specified, thus allowing the analyst two opportunities for obtaining accurate results. The unmeasured confounder assumption is still required. To do this, we depart from the propensity score estimated before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lang w:val="en-GB"/>
          </w:rPr>
          <m:t xml:space="preserve">) </m:t>
        </m:r>
      </m:oMath>
      <w:r w:rsidRPr="00F927C9">
        <w:rPr>
          <w:lang w:val="en-GB"/>
        </w:rPr>
        <w:t xml:space="preserve">and generate the inverse probability of treatment weights. Using simple inverse weights equal to </w:t>
      </w:r>
      <m:oMath>
        <m:f>
          <m:fPr>
            <m:type m:val="lin"/>
            <m:ctrlPr>
              <w:rPr>
                <w:rFonts w:ascii="Cambria Math" w:hAnsi="Cambria Math"/>
                <w:i/>
              </w:rPr>
            </m:ctrlPr>
          </m:fPr>
          <m:num>
            <m:r>
              <w:rPr>
                <w:rFonts w:ascii="Cambria Math" w:hAnsi="Cambria Math"/>
                <w:lang w:val="en-GB"/>
              </w:rPr>
              <m:t>1</m:t>
            </m:r>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en>
        </m:f>
      </m:oMath>
      <w:r w:rsidRPr="00F927C9">
        <w:rPr>
          <w:lang w:val="en-GB"/>
        </w:rPr>
        <w:t xml:space="preserve"> if the firm D=1 or </w:t>
      </w:r>
      <m:oMath>
        <m:f>
          <m:fPr>
            <m:type m:val="lin"/>
            <m:ctrlPr>
              <w:rPr>
                <w:rFonts w:ascii="Cambria Math" w:hAnsi="Cambria Math"/>
                <w:i/>
              </w:rPr>
            </m:ctrlPr>
          </m:fPr>
          <m:num>
            <m:r>
              <w:rPr>
                <w:rFonts w:ascii="Cambria Math" w:hAnsi="Cambria Math"/>
                <w:lang w:val="en-GB"/>
              </w:rPr>
              <m:t>1</m:t>
            </m:r>
          </m:num>
          <m:den>
            <m:r>
              <w:rPr>
                <w:rFonts w:ascii="Cambria Math" w:hAnsi="Cambria Math"/>
                <w:lang w:val="en-GB"/>
              </w:rPr>
              <m:t>(1-</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lang w:val="en-GB"/>
              </w:rPr>
              <m:t>)</m:t>
            </m:r>
          </m:den>
        </m:f>
      </m:oMath>
      <w:r w:rsidRPr="00F927C9">
        <w:rPr>
          <w:lang w:val="en-GB"/>
        </w:rPr>
        <w:t xml:space="preserve"> if D=0 leads to the following IPTW estimator (Lunceford and Davidian, 2004):</w:t>
      </w:r>
    </w:p>
    <w:p w14:paraId="6023A544" w14:textId="77777777" w:rsidR="00557850" w:rsidRPr="00551939" w:rsidRDefault="00905195" w:rsidP="00557850">
      <m:oMathPara>
        <m:oMath>
          <m:acc>
            <m:accPr>
              <m:ctrlPr>
                <w:rPr>
                  <w:rFonts w:ascii="Cambria Math" w:hAnsi="Cambria Math"/>
                  <w:i/>
                </w:rPr>
              </m:ctrlPr>
            </m:accPr>
            <m:e>
              <m:r>
                <w:rPr>
                  <w:rFonts w:ascii="Cambria Math" w:hAnsi="Cambria Math"/>
                </w:rPr>
                <m:t>τ</m:t>
              </m:r>
            </m:e>
          </m:acc>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-1</m:t>
              </m:r>
            </m:sup>
          </m:sSup>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en>
                  </m:f>
                  <m:r>
                    <w:rPr>
                      <w:rFonts w:ascii="Cambria Math" w:hAnsi="Cambria Math"/>
                    </w:rPr>
                    <m:t xml:space="preserve"> </m:t>
                  </m:r>
                </m:e>
              </m:d>
            </m:e>
          </m:nary>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-1</m:t>
              </m:r>
            </m:sup>
          </m:sSup>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(1-D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r>
                            <w:rPr>
                              <w:rFonts w:ascii="Cambria Math" w:hAnsi="Cambria Math"/>
                            </w:rPr>
                            <m:t>1-</m:t>
                          </m:r>
                          <m:acc>
                            <m:accPr>
                              <m:ctrlPr>
                                <w:rPr>
                                  <w:rFonts w:ascii="Cambria Math" w:hAnsi="Cambria Math"/>
                                  <w:i/>
                                </w:rPr>
                              </m:ctrlPr>
                            </m:accPr>
                            <m:e>
                              <m:r>
                                <w:rPr>
                                  <w:rFonts w:ascii="Cambria Math" w:hAnsi="Cambria Math"/>
                                </w:rPr>
                                <m:t>p</m:t>
                              </m:r>
                            </m:e>
                          </m:acc>
                        </m:e>
                        <m:sub>
                          <m:r>
                            <w:rPr>
                              <w:rFonts w:ascii="Cambria Math" w:hAnsi="Cambria Math"/>
                            </w:rPr>
                            <m:t>i</m:t>
                          </m:r>
                        </m:sub>
                      </m:sSub>
                    </m:den>
                  </m:f>
                  <m:r>
                    <w:rPr>
                      <w:rFonts w:ascii="Cambria Math" w:hAnsi="Cambria Math"/>
                    </w:rPr>
                    <m:t xml:space="preserve"> </m:t>
                  </m:r>
                </m:e>
              </m:d>
            </m:e>
          </m:nary>
        </m:oMath>
      </m:oMathPara>
    </w:p>
    <w:p w14:paraId="5287F8C5" w14:textId="77777777" w:rsidR="00557850" w:rsidRPr="00F927C9" w:rsidRDefault="00557850" w:rsidP="00557850">
      <w:pPr>
        <w:rPr>
          <w:lang w:val="en-GB"/>
        </w:rPr>
      </w:pPr>
      <w:proofErr w:type="spellStart"/>
      <w:r w:rsidRPr="00F927C9">
        <w:rPr>
          <w:lang w:val="en-GB"/>
        </w:rPr>
        <w:t>Emsley</w:t>
      </w:r>
      <w:proofErr w:type="spellEnd"/>
      <w:r w:rsidRPr="00F927C9">
        <w:rPr>
          <w:lang w:val="en-GB"/>
        </w:rPr>
        <w:t xml:space="preserve"> </w:t>
      </w:r>
      <w:proofErr w:type="gramStart"/>
      <w:r w:rsidRPr="00F927C9">
        <w:rPr>
          <w:lang w:val="en-GB"/>
        </w:rPr>
        <w:t>et</w:t>
      </w:r>
      <w:proofErr w:type="gramEnd"/>
      <w:r w:rsidRPr="00F927C9">
        <w:rPr>
          <w:lang w:val="en-GB"/>
        </w:rPr>
        <w:t>. al. (2008) derives an alternative specification of IPTW estimator that averages over the sum of the weights for each group while still using the simple inverse weight, i.e</w:t>
      </w:r>
      <w:proofErr w:type="gramStart"/>
      <w:r w:rsidRPr="00F927C9">
        <w:rPr>
          <w:lang w:val="en-GB"/>
        </w:rPr>
        <w:t>.,</w:t>
      </w:r>
      <w:proofErr w:type="gramEnd"/>
    </w:p>
    <w:p w14:paraId="455F79F4" w14:textId="77777777" w:rsidR="00557850" w:rsidRPr="00551939" w:rsidRDefault="00905195" w:rsidP="00557850">
      <m:oMathPara>
        <m:oMath>
          <m:sSub>
            <m:sSubPr>
              <m:ctrlPr>
                <w:rPr>
                  <w:rFonts w:ascii="Cambria Math" w:hAnsi="Cambria Math"/>
                  <w:i/>
                </w:rPr>
              </m:ctrlPr>
            </m:sSubPr>
            <m:e>
              <m:acc>
                <m:accPr>
                  <m:ctrlPr>
                    <w:rPr>
                      <w:rFonts w:ascii="Cambria Math" w:hAnsi="Cambria Math"/>
                      <w:i/>
                    </w:rPr>
                  </m:ctrlPr>
                </m:accPr>
                <m:e>
                  <m:r>
                    <w:rPr>
                      <w:rFonts w:ascii="Cambria Math" w:hAnsi="Cambria Math"/>
                    </w:rPr>
                    <m:t>τ</m:t>
                  </m:r>
                </m:e>
              </m:acc>
            </m:e>
            <m:sub>
              <m:r>
                <w:rPr>
                  <w:rFonts w:ascii="Cambria Math" w:hAnsi="Cambria Math"/>
                </w:rPr>
                <m:t>IPTW</m:t>
              </m:r>
            </m:sub>
          </m:sSub>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en>
                      </m:f>
                    </m:e>
                  </m:nary>
                </m:e>
              </m:d>
            </m:e>
            <m:sup>
              <m:r>
                <w:rPr>
                  <w:rFonts w:ascii="Cambria Math" w:hAnsi="Cambria Math"/>
                </w:rPr>
                <m:t>-1</m:t>
              </m:r>
            </m:sup>
          </m:sSup>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en>
                  </m:f>
                  <m:r>
                    <w:rPr>
                      <w:rFonts w:ascii="Cambria Math" w:hAnsi="Cambria Math"/>
                    </w:rPr>
                    <m:t xml:space="preserve"> </m:t>
                  </m:r>
                </m:e>
              </m:d>
            </m:e>
          </m:nary>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1-</m:t>
                              </m:r>
                              <m:acc>
                                <m:accPr>
                                  <m:ctrlPr>
                                    <w:rPr>
                                      <w:rFonts w:ascii="Cambria Math" w:hAnsi="Cambria Math"/>
                                      <w:i/>
                                    </w:rPr>
                                  </m:ctrlPr>
                                </m:accPr>
                                <m:e>
                                  <m:r>
                                    <w:rPr>
                                      <w:rFonts w:ascii="Cambria Math" w:hAnsi="Cambria Math"/>
                                    </w:rPr>
                                    <m:t>p</m:t>
                                  </m:r>
                                </m:e>
                              </m:acc>
                            </m:e>
                            <m:sub>
                              <m:r>
                                <w:rPr>
                                  <w:rFonts w:ascii="Cambria Math" w:hAnsi="Cambria Math"/>
                                </w:rPr>
                                <m:t>i</m:t>
                              </m:r>
                            </m:sub>
                          </m:sSub>
                        </m:den>
                      </m:f>
                    </m:e>
                  </m:nary>
                </m:e>
              </m:d>
            </m:e>
            <m:sup>
              <m:r>
                <w:rPr>
                  <w:rFonts w:ascii="Cambria Math" w:hAnsi="Cambria Math"/>
                </w:rPr>
                <m:t>-1</m:t>
              </m:r>
            </m:sup>
          </m:sSup>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(1-D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num>
                    <m:den>
                      <m:sSub>
                        <m:sSubPr>
                          <m:ctrlPr>
                            <w:rPr>
                              <w:rFonts w:ascii="Cambria Math" w:hAnsi="Cambria Math"/>
                              <w:i/>
                            </w:rPr>
                          </m:ctrlPr>
                        </m:sSubPr>
                        <m:e>
                          <m:r>
                            <w:rPr>
                              <w:rFonts w:ascii="Cambria Math" w:hAnsi="Cambria Math"/>
                            </w:rPr>
                            <m:t>1-</m:t>
                          </m:r>
                          <m:acc>
                            <m:accPr>
                              <m:ctrlPr>
                                <w:rPr>
                                  <w:rFonts w:ascii="Cambria Math" w:hAnsi="Cambria Math"/>
                                  <w:i/>
                                </w:rPr>
                              </m:ctrlPr>
                            </m:accPr>
                            <m:e>
                              <m:r>
                                <w:rPr>
                                  <w:rFonts w:ascii="Cambria Math" w:hAnsi="Cambria Math"/>
                                </w:rPr>
                                <m:t>p</m:t>
                              </m:r>
                            </m:e>
                          </m:acc>
                        </m:e>
                        <m:sub>
                          <m:r>
                            <w:rPr>
                              <w:rFonts w:ascii="Cambria Math" w:hAnsi="Cambria Math"/>
                            </w:rPr>
                            <m:t>i</m:t>
                          </m:r>
                        </m:sub>
                      </m:sSub>
                    </m:den>
                  </m:f>
                  <m:r>
                    <w:rPr>
                      <w:rFonts w:ascii="Cambria Math" w:hAnsi="Cambria Math"/>
                    </w:rPr>
                    <m:t xml:space="preserve"> </m:t>
                  </m:r>
                </m:e>
              </m:d>
            </m:e>
          </m:nary>
        </m:oMath>
      </m:oMathPara>
    </w:p>
    <w:p w14:paraId="1292028D" w14:textId="42F86954" w:rsidR="00414EEA" w:rsidRPr="00016AA6" w:rsidRDefault="00557850" w:rsidP="00414EEA">
      <w:pPr>
        <w:rPr>
          <w:b/>
          <w:lang w:val="en-US"/>
        </w:rPr>
      </w:pPr>
      <w:r w:rsidRPr="00F927C9">
        <w:rPr>
          <w:lang w:val="en-GB"/>
        </w:rPr>
        <w:t xml:space="preserve">This estimator can be produced estimating the outcome variable as a function of the treatment indicator and the set of confounders. In this model the sample will be restricted to the common support and the observations will be weighted according to the inverse of the propensity score. </w:t>
      </w:r>
    </w:p>
    <w:p w14:paraId="5F07786C" w14:textId="77777777" w:rsidR="00B4238E" w:rsidRDefault="00B4238E" w:rsidP="00C41769">
      <w:pPr>
        <w:pStyle w:val="Ttulo2"/>
        <w:rPr>
          <w:rFonts w:ascii="Garamond" w:hAnsi="Garamond"/>
          <w:b/>
          <w:color w:val="auto"/>
          <w:lang w:val="en-US"/>
        </w:rPr>
      </w:pPr>
    </w:p>
    <w:p w14:paraId="0678A2DC" w14:textId="77777777" w:rsidR="00C41769" w:rsidRPr="00C6568F" w:rsidRDefault="00C6568F" w:rsidP="00C41769">
      <w:pPr>
        <w:pStyle w:val="Ttulo2"/>
        <w:rPr>
          <w:rFonts w:ascii="Garamond" w:hAnsi="Garamond"/>
          <w:b/>
          <w:color w:val="auto"/>
          <w:lang w:val="en-US"/>
        </w:rPr>
      </w:pPr>
      <w:r>
        <w:rPr>
          <w:rFonts w:ascii="Garamond" w:hAnsi="Garamond"/>
          <w:b/>
          <w:color w:val="auto"/>
          <w:lang w:val="en-US"/>
        </w:rPr>
        <w:t>3</w:t>
      </w:r>
      <w:r w:rsidR="00C41769" w:rsidRPr="00C6568F">
        <w:rPr>
          <w:rFonts w:ascii="Garamond" w:hAnsi="Garamond"/>
          <w:b/>
          <w:color w:val="auto"/>
          <w:lang w:val="en-US"/>
        </w:rPr>
        <w:t>. Results</w:t>
      </w:r>
    </w:p>
    <w:p w14:paraId="5D0C77E9" w14:textId="77777777" w:rsidR="00C41769" w:rsidRPr="007C3120" w:rsidRDefault="00C41769" w:rsidP="00C41769">
      <w:pPr>
        <w:rPr>
          <w:lang w:val="en-US"/>
        </w:rPr>
      </w:pPr>
    </w:p>
    <w:p w14:paraId="42610301" w14:textId="0B2E79BE" w:rsidR="00C41769" w:rsidRDefault="00C41769" w:rsidP="00C41769">
      <w:pPr>
        <w:rPr>
          <w:lang w:val="en-US"/>
        </w:rPr>
      </w:pPr>
      <w:r w:rsidRPr="007C3120">
        <w:rPr>
          <w:lang w:val="en-US"/>
        </w:rPr>
        <w:t>Before showing the main results of our estimation</w:t>
      </w:r>
      <w:r>
        <w:rPr>
          <w:lang w:val="en-US"/>
        </w:rPr>
        <w:t>, descriptive statistics provide an illustrative representation of the phenomenon under study. As we have already stated</w:t>
      </w:r>
      <w:r w:rsidRPr="007C3120">
        <w:rPr>
          <w:lang w:val="en-US"/>
        </w:rPr>
        <w:t>, the database is made up by SMEs</w:t>
      </w:r>
      <w:r>
        <w:rPr>
          <w:lang w:val="en-US"/>
        </w:rPr>
        <w:t xml:space="preserve"> that</w:t>
      </w:r>
      <w:r w:rsidRPr="007C3120">
        <w:rPr>
          <w:lang w:val="en-US"/>
        </w:rPr>
        <w:t xml:space="preserve"> belong to 14 </w:t>
      </w:r>
      <w:r w:rsidR="002172FC">
        <w:rPr>
          <w:lang w:val="en-US"/>
        </w:rPr>
        <w:t>manufacturing</w:t>
      </w:r>
      <w:r w:rsidRPr="007C3120">
        <w:rPr>
          <w:lang w:val="en-US"/>
        </w:rPr>
        <w:t xml:space="preserve"> and 4 service sectors. The industrial classification follows the ISIC, though some sectors were exclude</w:t>
      </w:r>
      <w:r>
        <w:rPr>
          <w:lang w:val="en-US"/>
        </w:rPr>
        <w:t>d</w:t>
      </w:r>
      <w:r w:rsidRPr="007C3120">
        <w:rPr>
          <w:lang w:val="en-US"/>
        </w:rPr>
        <w:t xml:space="preserve"> because the predominance of la</w:t>
      </w:r>
      <w:r>
        <w:rPr>
          <w:lang w:val="en-US"/>
        </w:rPr>
        <w:t>r</w:t>
      </w:r>
      <w:r w:rsidRPr="007C3120">
        <w:rPr>
          <w:lang w:val="en-US"/>
        </w:rPr>
        <w:t>ge firms (e.</w:t>
      </w:r>
      <w:r>
        <w:rPr>
          <w:lang w:val="en-US"/>
        </w:rPr>
        <w:t>g.</w:t>
      </w:r>
      <w:r w:rsidRPr="007C3120">
        <w:rPr>
          <w:lang w:val="en-US"/>
        </w:rPr>
        <w:t xml:space="preserve"> tobacco). </w:t>
      </w:r>
      <w:r>
        <w:rPr>
          <w:lang w:val="en-US"/>
        </w:rPr>
        <w:t>Just a few</w:t>
      </w:r>
      <w:r w:rsidRPr="007C3120">
        <w:rPr>
          <w:lang w:val="en-US"/>
        </w:rPr>
        <w:t xml:space="preserve"> ser</w:t>
      </w:r>
      <w:r>
        <w:rPr>
          <w:lang w:val="en-US"/>
        </w:rPr>
        <w:t xml:space="preserve">vice sectors were included and this is because training and innovation questions were asked just in the selected </w:t>
      </w:r>
      <w:r w:rsidR="00D251C0">
        <w:rPr>
          <w:lang w:val="en-US"/>
        </w:rPr>
        <w:t>activities</w:t>
      </w:r>
      <w:r>
        <w:rPr>
          <w:lang w:val="en-US"/>
        </w:rPr>
        <w:t>.</w:t>
      </w:r>
    </w:p>
    <w:p w14:paraId="1EBD23A5" w14:textId="11012DB7" w:rsidR="00C41769" w:rsidRDefault="00C41769" w:rsidP="00C41769">
      <w:pPr>
        <w:rPr>
          <w:lang w:val="en-US"/>
        </w:rPr>
      </w:pPr>
      <w:r w:rsidRPr="007C3120">
        <w:rPr>
          <w:lang w:val="en-US"/>
        </w:rPr>
        <w:t xml:space="preserve">The average size is </w:t>
      </w:r>
      <w:r>
        <w:rPr>
          <w:lang w:val="en-US"/>
        </w:rPr>
        <w:t>57 sectors with significant differences among them. Labor productivity and wages (in logs and levels) show that firms also perform very different</w:t>
      </w:r>
      <w:r w:rsidR="00A40D2B">
        <w:rPr>
          <w:lang w:val="en-US"/>
        </w:rPr>
        <w:t>ly</w:t>
      </w:r>
      <w:r>
        <w:rPr>
          <w:lang w:val="en-US"/>
        </w:rPr>
        <w:t xml:space="preserve"> among sectors. The same observation can be made in the case of training activities. There are activities that show a higher rate of firms conducing training activities than others. Services considered, automotive sector, machinery and chemicals systematically performed training activities more frequently (See Table 1)</w:t>
      </w:r>
      <w:r w:rsidR="00D251C0">
        <w:rPr>
          <w:lang w:val="en-US"/>
        </w:rPr>
        <w:t>,</w:t>
      </w:r>
    </w:p>
    <w:p w14:paraId="67E1D28D" w14:textId="77777777" w:rsidR="00C41769" w:rsidRPr="00F81EA3" w:rsidRDefault="00C41769" w:rsidP="00C41769">
      <w:pPr>
        <w:rPr>
          <w:b/>
          <w:lang w:val="en-US"/>
        </w:rPr>
      </w:pPr>
      <w:r w:rsidRPr="00F81EA3">
        <w:rPr>
          <w:b/>
          <w:lang w:val="en-US"/>
        </w:rPr>
        <w:t>Table 1. Several statistics by activity</w:t>
      </w:r>
    </w:p>
    <w:tbl>
      <w:tblPr>
        <w:tblStyle w:val="Cuadrculadetablaclara1"/>
        <w:tblW w:w="10065" w:type="dxa"/>
        <w:tblInd w:w="-289" w:type="dxa"/>
        <w:tblLook w:val="04A0" w:firstRow="1" w:lastRow="0" w:firstColumn="1" w:lastColumn="0" w:noHBand="0" w:noVBand="1"/>
      </w:tblPr>
      <w:tblGrid>
        <w:gridCol w:w="2268"/>
        <w:gridCol w:w="704"/>
        <w:gridCol w:w="1105"/>
        <w:gridCol w:w="1212"/>
        <w:gridCol w:w="1227"/>
        <w:gridCol w:w="1059"/>
        <w:gridCol w:w="1209"/>
        <w:gridCol w:w="1281"/>
      </w:tblGrid>
      <w:tr w:rsidR="00C41769" w:rsidRPr="007C3120" w14:paraId="3B5FBEFB" w14:textId="77777777" w:rsidTr="00557280">
        <w:trPr>
          <w:trHeight w:val="600"/>
        </w:trPr>
        <w:tc>
          <w:tcPr>
            <w:tcW w:w="2268" w:type="dxa"/>
            <w:hideMark/>
          </w:tcPr>
          <w:p w14:paraId="5D575146" w14:textId="77777777" w:rsidR="00C41769" w:rsidRPr="007C3120" w:rsidRDefault="00C41769" w:rsidP="00557280">
            <w:pPr>
              <w:jc w:val="center"/>
              <w:rPr>
                <w:sz w:val="20"/>
                <w:szCs w:val="20"/>
                <w:lang w:val="en-US" w:eastAsia="es-AR"/>
              </w:rPr>
            </w:pPr>
            <w:r w:rsidRPr="007C3120">
              <w:rPr>
                <w:sz w:val="20"/>
                <w:szCs w:val="20"/>
                <w:lang w:val="en-US" w:eastAsia="es-AR"/>
              </w:rPr>
              <w:t>Sector</w:t>
            </w:r>
          </w:p>
        </w:tc>
        <w:tc>
          <w:tcPr>
            <w:tcW w:w="704" w:type="dxa"/>
            <w:hideMark/>
          </w:tcPr>
          <w:p w14:paraId="79D5D367" w14:textId="77777777" w:rsidR="00C41769" w:rsidRPr="007C3120" w:rsidRDefault="00C41769" w:rsidP="00557280">
            <w:pPr>
              <w:jc w:val="center"/>
              <w:rPr>
                <w:sz w:val="20"/>
                <w:szCs w:val="20"/>
                <w:lang w:val="en-US" w:eastAsia="es-AR"/>
              </w:rPr>
            </w:pPr>
            <w:r w:rsidRPr="007C3120">
              <w:rPr>
                <w:sz w:val="20"/>
                <w:szCs w:val="20"/>
                <w:lang w:val="en-US" w:eastAsia="es-AR"/>
              </w:rPr>
              <w:t>N</w:t>
            </w:r>
          </w:p>
        </w:tc>
        <w:tc>
          <w:tcPr>
            <w:tcW w:w="1105" w:type="dxa"/>
            <w:hideMark/>
          </w:tcPr>
          <w:p w14:paraId="1B1C029E" w14:textId="77777777" w:rsidR="00C41769" w:rsidRPr="007C3120" w:rsidRDefault="00C41769" w:rsidP="00557280">
            <w:pPr>
              <w:jc w:val="center"/>
              <w:rPr>
                <w:sz w:val="20"/>
                <w:szCs w:val="20"/>
                <w:lang w:val="en-US" w:eastAsia="es-AR"/>
              </w:rPr>
            </w:pPr>
            <w:r w:rsidRPr="007C3120">
              <w:rPr>
                <w:sz w:val="20"/>
                <w:szCs w:val="20"/>
                <w:lang w:val="en-US" w:eastAsia="es-AR"/>
              </w:rPr>
              <w:t>Number of employees 2008</w:t>
            </w:r>
          </w:p>
        </w:tc>
        <w:tc>
          <w:tcPr>
            <w:tcW w:w="1212" w:type="dxa"/>
            <w:hideMark/>
          </w:tcPr>
          <w:p w14:paraId="1C9D25F7" w14:textId="77777777" w:rsidR="00C41769" w:rsidRPr="007C3120" w:rsidRDefault="00C41769" w:rsidP="00557280">
            <w:pPr>
              <w:jc w:val="center"/>
              <w:rPr>
                <w:sz w:val="20"/>
                <w:szCs w:val="20"/>
                <w:lang w:val="en-US" w:eastAsia="es-AR"/>
              </w:rPr>
            </w:pPr>
            <w:r w:rsidRPr="007C3120">
              <w:rPr>
                <w:sz w:val="20"/>
                <w:szCs w:val="20"/>
                <w:lang w:val="en-US" w:eastAsia="es-AR"/>
              </w:rPr>
              <w:t>Log (labor productivity) 2008</w:t>
            </w:r>
          </w:p>
        </w:tc>
        <w:tc>
          <w:tcPr>
            <w:tcW w:w="1227" w:type="dxa"/>
          </w:tcPr>
          <w:p w14:paraId="53C641E8" w14:textId="77777777" w:rsidR="00C41769" w:rsidRDefault="00C41769" w:rsidP="00557280">
            <w:pPr>
              <w:jc w:val="center"/>
              <w:rPr>
                <w:sz w:val="20"/>
                <w:szCs w:val="20"/>
                <w:lang w:val="en-US" w:eastAsia="es-AR"/>
              </w:rPr>
            </w:pPr>
            <w:r>
              <w:rPr>
                <w:sz w:val="20"/>
                <w:szCs w:val="20"/>
                <w:lang w:val="en-US" w:eastAsia="es-AR"/>
              </w:rPr>
              <w:t>L</w:t>
            </w:r>
            <w:r w:rsidRPr="007C3120">
              <w:rPr>
                <w:sz w:val="20"/>
                <w:szCs w:val="20"/>
                <w:lang w:val="en-US" w:eastAsia="es-AR"/>
              </w:rPr>
              <w:t>abor productivity</w:t>
            </w:r>
          </w:p>
          <w:p w14:paraId="77DB3E90" w14:textId="77777777" w:rsidR="00C41769" w:rsidRPr="007C3120" w:rsidRDefault="00C41769" w:rsidP="00557280">
            <w:pPr>
              <w:jc w:val="center"/>
              <w:rPr>
                <w:sz w:val="20"/>
                <w:szCs w:val="20"/>
                <w:lang w:val="en-US" w:eastAsia="es-AR"/>
              </w:rPr>
            </w:pPr>
            <w:r>
              <w:rPr>
                <w:sz w:val="20"/>
                <w:szCs w:val="20"/>
                <w:lang w:val="en-US" w:eastAsia="es-AR"/>
              </w:rPr>
              <w:t>(pesos 2008)</w:t>
            </w:r>
          </w:p>
        </w:tc>
        <w:tc>
          <w:tcPr>
            <w:tcW w:w="1059" w:type="dxa"/>
            <w:hideMark/>
          </w:tcPr>
          <w:p w14:paraId="30FC1FFC" w14:textId="77777777" w:rsidR="00C41769" w:rsidRPr="007C3120" w:rsidRDefault="00C41769" w:rsidP="00557280">
            <w:pPr>
              <w:jc w:val="center"/>
              <w:rPr>
                <w:sz w:val="20"/>
                <w:szCs w:val="20"/>
                <w:lang w:val="en-US" w:eastAsia="es-AR"/>
              </w:rPr>
            </w:pPr>
            <w:r w:rsidRPr="007C3120">
              <w:rPr>
                <w:sz w:val="20"/>
                <w:szCs w:val="20"/>
                <w:lang w:val="en-US" w:eastAsia="es-AR"/>
              </w:rPr>
              <w:t>Log (wages) 2008</w:t>
            </w:r>
          </w:p>
        </w:tc>
        <w:tc>
          <w:tcPr>
            <w:tcW w:w="1209" w:type="dxa"/>
          </w:tcPr>
          <w:p w14:paraId="5363E22F" w14:textId="77777777" w:rsidR="00C41769" w:rsidRPr="007C3120" w:rsidRDefault="00C41769" w:rsidP="00557280">
            <w:pPr>
              <w:jc w:val="center"/>
              <w:rPr>
                <w:sz w:val="20"/>
                <w:szCs w:val="20"/>
                <w:lang w:val="en-US" w:eastAsia="es-AR"/>
              </w:rPr>
            </w:pPr>
            <w:r>
              <w:rPr>
                <w:sz w:val="20"/>
                <w:szCs w:val="20"/>
                <w:lang w:val="en-US" w:eastAsia="es-AR"/>
              </w:rPr>
              <w:t>Average wage (pesos 2008)</w:t>
            </w:r>
          </w:p>
        </w:tc>
        <w:tc>
          <w:tcPr>
            <w:tcW w:w="1281" w:type="dxa"/>
            <w:hideMark/>
          </w:tcPr>
          <w:p w14:paraId="39E90489" w14:textId="77777777" w:rsidR="00C41769" w:rsidRPr="007C3120" w:rsidRDefault="00C41769" w:rsidP="00557280">
            <w:pPr>
              <w:jc w:val="center"/>
              <w:rPr>
                <w:sz w:val="20"/>
                <w:szCs w:val="20"/>
                <w:lang w:val="en-US" w:eastAsia="es-AR"/>
              </w:rPr>
            </w:pPr>
            <w:r w:rsidRPr="007C3120">
              <w:rPr>
                <w:sz w:val="20"/>
                <w:szCs w:val="20"/>
                <w:lang w:val="en-US" w:eastAsia="es-AR"/>
              </w:rPr>
              <w:t>Training activit</w:t>
            </w:r>
            <w:r>
              <w:rPr>
                <w:sz w:val="20"/>
                <w:szCs w:val="20"/>
                <w:lang w:val="en-US" w:eastAsia="es-AR"/>
              </w:rPr>
              <w:t>i</w:t>
            </w:r>
            <w:r w:rsidRPr="007C3120">
              <w:rPr>
                <w:sz w:val="20"/>
                <w:szCs w:val="20"/>
                <w:lang w:val="en-US" w:eastAsia="es-AR"/>
              </w:rPr>
              <w:t>es % (2006-2008)</w:t>
            </w:r>
          </w:p>
        </w:tc>
      </w:tr>
      <w:tr w:rsidR="00C41769" w:rsidRPr="007C3120" w14:paraId="642CCA03" w14:textId="77777777" w:rsidTr="00557280">
        <w:trPr>
          <w:trHeight w:val="194"/>
        </w:trPr>
        <w:tc>
          <w:tcPr>
            <w:tcW w:w="2268" w:type="dxa"/>
          </w:tcPr>
          <w:p w14:paraId="632E7A66" w14:textId="77777777" w:rsidR="00C41769" w:rsidRPr="00EE5342" w:rsidRDefault="00C41769" w:rsidP="00557280">
            <w:pPr>
              <w:jc w:val="left"/>
              <w:rPr>
                <w:sz w:val="20"/>
                <w:szCs w:val="20"/>
                <w:lang w:val="en-US" w:eastAsia="es-AR"/>
              </w:rPr>
            </w:pPr>
            <w:r w:rsidRPr="00EE5342">
              <w:rPr>
                <w:sz w:val="20"/>
                <w:szCs w:val="20"/>
                <w:lang w:val="en-US" w:eastAsia="es-AR"/>
              </w:rPr>
              <w:t>Food and beverages</w:t>
            </w:r>
          </w:p>
        </w:tc>
        <w:tc>
          <w:tcPr>
            <w:tcW w:w="704" w:type="dxa"/>
          </w:tcPr>
          <w:p w14:paraId="091A8562" w14:textId="77777777" w:rsidR="00C41769" w:rsidRPr="00EE5342" w:rsidRDefault="00C41769" w:rsidP="00557280">
            <w:pPr>
              <w:jc w:val="center"/>
              <w:rPr>
                <w:sz w:val="20"/>
                <w:szCs w:val="20"/>
                <w:lang w:val="en-US" w:eastAsia="es-AR"/>
              </w:rPr>
            </w:pPr>
            <w:r w:rsidRPr="00EE5342">
              <w:rPr>
                <w:sz w:val="20"/>
                <w:szCs w:val="20"/>
                <w:lang w:val="en-US" w:eastAsia="es-AR"/>
              </w:rPr>
              <w:t>226</w:t>
            </w:r>
          </w:p>
        </w:tc>
        <w:tc>
          <w:tcPr>
            <w:tcW w:w="1105" w:type="dxa"/>
            <w:hideMark/>
          </w:tcPr>
          <w:p w14:paraId="597BAA69" w14:textId="77777777" w:rsidR="00C41769" w:rsidRPr="00EE5342" w:rsidRDefault="00C41769" w:rsidP="00557280">
            <w:pPr>
              <w:jc w:val="center"/>
              <w:rPr>
                <w:sz w:val="20"/>
                <w:szCs w:val="20"/>
                <w:lang w:val="en-US" w:eastAsia="es-AR"/>
              </w:rPr>
            </w:pPr>
            <w:r w:rsidRPr="00EE5342">
              <w:rPr>
                <w:sz w:val="20"/>
                <w:szCs w:val="20"/>
                <w:lang w:val="en-US" w:eastAsia="es-AR"/>
              </w:rPr>
              <w:t>59</w:t>
            </w:r>
          </w:p>
        </w:tc>
        <w:tc>
          <w:tcPr>
            <w:tcW w:w="1212" w:type="dxa"/>
            <w:hideMark/>
          </w:tcPr>
          <w:p w14:paraId="7845659E" w14:textId="77777777" w:rsidR="00C41769" w:rsidRPr="00EE5342" w:rsidRDefault="00C41769" w:rsidP="00557280">
            <w:pPr>
              <w:jc w:val="center"/>
              <w:rPr>
                <w:sz w:val="20"/>
                <w:szCs w:val="20"/>
                <w:lang w:val="en-US" w:eastAsia="es-AR"/>
              </w:rPr>
            </w:pPr>
            <w:r w:rsidRPr="00EE5342">
              <w:rPr>
                <w:sz w:val="20"/>
                <w:szCs w:val="20"/>
                <w:lang w:val="en-US" w:eastAsia="es-AR"/>
              </w:rPr>
              <w:t>10.4807</w:t>
            </w:r>
          </w:p>
        </w:tc>
        <w:tc>
          <w:tcPr>
            <w:tcW w:w="1227" w:type="dxa"/>
          </w:tcPr>
          <w:p w14:paraId="195858AF" w14:textId="77777777" w:rsidR="00C41769" w:rsidRPr="00EE5342" w:rsidRDefault="00C41769" w:rsidP="00557280">
            <w:pPr>
              <w:jc w:val="center"/>
              <w:rPr>
                <w:sz w:val="20"/>
                <w:szCs w:val="20"/>
              </w:rPr>
            </w:pPr>
            <w:r w:rsidRPr="00EE5342">
              <w:rPr>
                <w:sz w:val="20"/>
                <w:szCs w:val="20"/>
              </w:rPr>
              <w:t>51,462</w:t>
            </w:r>
          </w:p>
        </w:tc>
        <w:tc>
          <w:tcPr>
            <w:tcW w:w="1059" w:type="dxa"/>
            <w:hideMark/>
          </w:tcPr>
          <w:p w14:paraId="6D4EF5D5" w14:textId="77777777" w:rsidR="00C41769" w:rsidRPr="00EE5342" w:rsidRDefault="00C41769" w:rsidP="00557280">
            <w:pPr>
              <w:jc w:val="center"/>
              <w:rPr>
                <w:sz w:val="20"/>
                <w:szCs w:val="20"/>
                <w:lang w:val="en-US" w:eastAsia="es-AR"/>
              </w:rPr>
            </w:pPr>
            <w:r w:rsidRPr="00EE5342">
              <w:rPr>
                <w:sz w:val="20"/>
                <w:szCs w:val="20"/>
                <w:lang w:val="en-US" w:eastAsia="es-AR"/>
              </w:rPr>
              <w:t>10.02897</w:t>
            </w:r>
          </w:p>
        </w:tc>
        <w:tc>
          <w:tcPr>
            <w:tcW w:w="1209" w:type="dxa"/>
            <w:vAlign w:val="center"/>
          </w:tcPr>
          <w:p w14:paraId="0939D86E" w14:textId="77777777" w:rsidR="00C41769" w:rsidRPr="00EE5342" w:rsidRDefault="00C41769" w:rsidP="00557280">
            <w:pPr>
              <w:jc w:val="center"/>
              <w:rPr>
                <w:sz w:val="20"/>
                <w:szCs w:val="20"/>
              </w:rPr>
            </w:pPr>
            <w:r w:rsidRPr="00EE5342">
              <w:rPr>
                <w:sz w:val="20"/>
                <w:szCs w:val="20"/>
              </w:rPr>
              <w:t>33,742</w:t>
            </w:r>
          </w:p>
        </w:tc>
        <w:tc>
          <w:tcPr>
            <w:tcW w:w="1281" w:type="dxa"/>
            <w:hideMark/>
          </w:tcPr>
          <w:p w14:paraId="0B30A4BE" w14:textId="77777777" w:rsidR="00C41769" w:rsidRPr="00EE5342" w:rsidRDefault="00C41769" w:rsidP="00557280">
            <w:pPr>
              <w:jc w:val="center"/>
              <w:rPr>
                <w:sz w:val="20"/>
                <w:szCs w:val="20"/>
                <w:lang w:val="en-US" w:eastAsia="es-AR"/>
              </w:rPr>
            </w:pPr>
            <w:r w:rsidRPr="00EE5342">
              <w:rPr>
                <w:sz w:val="20"/>
                <w:szCs w:val="20"/>
                <w:lang w:val="en-US" w:eastAsia="es-AR"/>
              </w:rPr>
              <w:t>62%</w:t>
            </w:r>
          </w:p>
        </w:tc>
      </w:tr>
      <w:tr w:rsidR="00C41769" w:rsidRPr="007C3120" w14:paraId="19CEC38E" w14:textId="77777777" w:rsidTr="00557280">
        <w:trPr>
          <w:trHeight w:val="146"/>
        </w:trPr>
        <w:tc>
          <w:tcPr>
            <w:tcW w:w="2268" w:type="dxa"/>
            <w:noWrap/>
          </w:tcPr>
          <w:p w14:paraId="254ECFC0" w14:textId="77777777" w:rsidR="00C41769" w:rsidRPr="00EE5342" w:rsidRDefault="00C41769" w:rsidP="00557280">
            <w:pPr>
              <w:jc w:val="left"/>
              <w:rPr>
                <w:sz w:val="20"/>
                <w:szCs w:val="20"/>
                <w:lang w:val="en-US" w:eastAsia="es-AR"/>
              </w:rPr>
            </w:pPr>
            <w:r w:rsidRPr="00EE5342">
              <w:rPr>
                <w:sz w:val="20"/>
                <w:szCs w:val="20"/>
                <w:lang w:val="en-US" w:eastAsia="es-AR"/>
              </w:rPr>
              <w:t>Textiles</w:t>
            </w:r>
          </w:p>
        </w:tc>
        <w:tc>
          <w:tcPr>
            <w:tcW w:w="704" w:type="dxa"/>
            <w:noWrap/>
          </w:tcPr>
          <w:p w14:paraId="5B84B97D" w14:textId="77777777" w:rsidR="00C41769" w:rsidRPr="00EE5342" w:rsidRDefault="00C41769" w:rsidP="00557280">
            <w:pPr>
              <w:jc w:val="center"/>
              <w:rPr>
                <w:sz w:val="20"/>
                <w:szCs w:val="20"/>
                <w:lang w:val="en-US" w:eastAsia="es-AR"/>
              </w:rPr>
            </w:pPr>
            <w:r w:rsidRPr="00EE5342">
              <w:rPr>
                <w:sz w:val="20"/>
                <w:szCs w:val="20"/>
                <w:lang w:val="en-US" w:eastAsia="es-AR"/>
              </w:rPr>
              <w:t>45</w:t>
            </w:r>
          </w:p>
        </w:tc>
        <w:tc>
          <w:tcPr>
            <w:tcW w:w="1105" w:type="dxa"/>
            <w:noWrap/>
            <w:hideMark/>
          </w:tcPr>
          <w:p w14:paraId="0DCCC7DB" w14:textId="77777777" w:rsidR="00C41769" w:rsidRPr="00EE5342" w:rsidRDefault="00C41769" w:rsidP="00557280">
            <w:pPr>
              <w:jc w:val="center"/>
              <w:rPr>
                <w:sz w:val="20"/>
                <w:szCs w:val="20"/>
                <w:lang w:val="en-US" w:eastAsia="es-AR"/>
              </w:rPr>
            </w:pPr>
            <w:r w:rsidRPr="00EE5342">
              <w:rPr>
                <w:sz w:val="20"/>
                <w:szCs w:val="20"/>
                <w:lang w:val="en-US" w:eastAsia="es-AR"/>
              </w:rPr>
              <w:t>69</w:t>
            </w:r>
          </w:p>
        </w:tc>
        <w:tc>
          <w:tcPr>
            <w:tcW w:w="1212" w:type="dxa"/>
            <w:noWrap/>
            <w:hideMark/>
          </w:tcPr>
          <w:p w14:paraId="041BCF10" w14:textId="77777777" w:rsidR="00C41769" w:rsidRPr="00EE5342" w:rsidRDefault="00C41769" w:rsidP="00557280">
            <w:pPr>
              <w:jc w:val="center"/>
              <w:rPr>
                <w:sz w:val="20"/>
                <w:szCs w:val="20"/>
                <w:lang w:val="en-US" w:eastAsia="es-AR"/>
              </w:rPr>
            </w:pPr>
            <w:r w:rsidRPr="00EE5342">
              <w:rPr>
                <w:sz w:val="20"/>
                <w:szCs w:val="20"/>
                <w:lang w:val="en-US" w:eastAsia="es-AR"/>
              </w:rPr>
              <w:t>10.60322</w:t>
            </w:r>
          </w:p>
        </w:tc>
        <w:tc>
          <w:tcPr>
            <w:tcW w:w="1227" w:type="dxa"/>
          </w:tcPr>
          <w:p w14:paraId="39E35CA0" w14:textId="77777777" w:rsidR="00C41769" w:rsidRPr="00EE5342" w:rsidRDefault="00C41769" w:rsidP="00557280">
            <w:pPr>
              <w:jc w:val="center"/>
              <w:rPr>
                <w:sz w:val="20"/>
                <w:szCs w:val="20"/>
              </w:rPr>
            </w:pPr>
            <w:r w:rsidRPr="00EE5342">
              <w:rPr>
                <w:sz w:val="20"/>
                <w:szCs w:val="20"/>
              </w:rPr>
              <w:t>52,510</w:t>
            </w:r>
          </w:p>
        </w:tc>
        <w:tc>
          <w:tcPr>
            <w:tcW w:w="1059" w:type="dxa"/>
            <w:noWrap/>
            <w:hideMark/>
          </w:tcPr>
          <w:p w14:paraId="6265285C" w14:textId="77777777" w:rsidR="00C41769" w:rsidRPr="00EE5342" w:rsidRDefault="00C41769" w:rsidP="00557280">
            <w:pPr>
              <w:jc w:val="center"/>
              <w:rPr>
                <w:sz w:val="20"/>
                <w:szCs w:val="20"/>
                <w:lang w:val="en-US" w:eastAsia="es-AR"/>
              </w:rPr>
            </w:pPr>
            <w:r w:rsidRPr="00EE5342">
              <w:rPr>
                <w:sz w:val="20"/>
                <w:szCs w:val="20"/>
                <w:lang w:val="en-US" w:eastAsia="es-AR"/>
              </w:rPr>
              <w:t>10.112</w:t>
            </w:r>
          </w:p>
        </w:tc>
        <w:tc>
          <w:tcPr>
            <w:tcW w:w="1209" w:type="dxa"/>
            <w:vAlign w:val="center"/>
          </w:tcPr>
          <w:p w14:paraId="5DCA4123" w14:textId="77777777" w:rsidR="00C41769" w:rsidRPr="00EE5342" w:rsidRDefault="00C41769" w:rsidP="00557280">
            <w:pPr>
              <w:jc w:val="center"/>
              <w:rPr>
                <w:sz w:val="20"/>
                <w:szCs w:val="20"/>
              </w:rPr>
            </w:pPr>
            <w:r w:rsidRPr="00EE5342">
              <w:rPr>
                <w:sz w:val="20"/>
                <w:szCs w:val="20"/>
              </w:rPr>
              <w:t>31,970</w:t>
            </w:r>
          </w:p>
        </w:tc>
        <w:tc>
          <w:tcPr>
            <w:tcW w:w="1281" w:type="dxa"/>
            <w:noWrap/>
            <w:hideMark/>
          </w:tcPr>
          <w:p w14:paraId="3331D540" w14:textId="77777777" w:rsidR="00C41769" w:rsidRPr="00EE5342" w:rsidRDefault="00C41769" w:rsidP="00557280">
            <w:pPr>
              <w:jc w:val="center"/>
              <w:rPr>
                <w:sz w:val="20"/>
                <w:szCs w:val="20"/>
                <w:lang w:val="en-US" w:eastAsia="es-AR"/>
              </w:rPr>
            </w:pPr>
            <w:r w:rsidRPr="00EE5342">
              <w:rPr>
                <w:sz w:val="20"/>
                <w:szCs w:val="20"/>
                <w:lang w:val="en-US" w:eastAsia="es-AR"/>
              </w:rPr>
              <w:t>47%</w:t>
            </w:r>
          </w:p>
        </w:tc>
      </w:tr>
      <w:tr w:rsidR="00C41769" w:rsidRPr="007C3120" w14:paraId="3051237E" w14:textId="77777777" w:rsidTr="00557280">
        <w:trPr>
          <w:trHeight w:val="300"/>
        </w:trPr>
        <w:tc>
          <w:tcPr>
            <w:tcW w:w="2268" w:type="dxa"/>
            <w:noWrap/>
          </w:tcPr>
          <w:p w14:paraId="2C30E71E" w14:textId="77777777" w:rsidR="00C41769" w:rsidRPr="00EE5342" w:rsidRDefault="00C41769" w:rsidP="00557280">
            <w:pPr>
              <w:jc w:val="left"/>
              <w:rPr>
                <w:sz w:val="20"/>
                <w:szCs w:val="20"/>
                <w:lang w:val="en-US" w:eastAsia="es-AR"/>
              </w:rPr>
            </w:pPr>
            <w:r w:rsidRPr="00EE5342">
              <w:rPr>
                <w:sz w:val="20"/>
                <w:szCs w:val="20"/>
                <w:lang w:val="en-US" w:eastAsia="es-AR"/>
              </w:rPr>
              <w:t>Garment</w:t>
            </w:r>
          </w:p>
        </w:tc>
        <w:tc>
          <w:tcPr>
            <w:tcW w:w="704" w:type="dxa"/>
            <w:noWrap/>
          </w:tcPr>
          <w:p w14:paraId="6B1F3D24" w14:textId="77777777" w:rsidR="00C41769" w:rsidRPr="00EE5342" w:rsidRDefault="00C41769" w:rsidP="00557280">
            <w:pPr>
              <w:jc w:val="center"/>
              <w:rPr>
                <w:sz w:val="20"/>
                <w:szCs w:val="20"/>
                <w:lang w:val="en-US" w:eastAsia="es-AR"/>
              </w:rPr>
            </w:pPr>
            <w:r w:rsidRPr="00EE5342">
              <w:rPr>
                <w:sz w:val="20"/>
                <w:szCs w:val="20"/>
                <w:lang w:val="en-US" w:eastAsia="es-AR"/>
              </w:rPr>
              <w:t>55</w:t>
            </w:r>
          </w:p>
        </w:tc>
        <w:tc>
          <w:tcPr>
            <w:tcW w:w="1105" w:type="dxa"/>
            <w:noWrap/>
            <w:hideMark/>
          </w:tcPr>
          <w:p w14:paraId="287986B7" w14:textId="77777777" w:rsidR="00C41769" w:rsidRPr="00EE5342" w:rsidRDefault="00C41769" w:rsidP="00557280">
            <w:pPr>
              <w:jc w:val="center"/>
              <w:rPr>
                <w:sz w:val="20"/>
                <w:szCs w:val="20"/>
                <w:lang w:val="en-US" w:eastAsia="es-AR"/>
              </w:rPr>
            </w:pPr>
            <w:r w:rsidRPr="00EE5342">
              <w:rPr>
                <w:sz w:val="20"/>
                <w:szCs w:val="20"/>
                <w:lang w:val="en-US" w:eastAsia="es-AR"/>
              </w:rPr>
              <w:t>68</w:t>
            </w:r>
          </w:p>
        </w:tc>
        <w:tc>
          <w:tcPr>
            <w:tcW w:w="1212" w:type="dxa"/>
            <w:noWrap/>
            <w:hideMark/>
          </w:tcPr>
          <w:p w14:paraId="5931DF0A" w14:textId="77777777" w:rsidR="00C41769" w:rsidRPr="00EE5342" w:rsidRDefault="00C41769" w:rsidP="00557280">
            <w:pPr>
              <w:jc w:val="center"/>
              <w:rPr>
                <w:sz w:val="20"/>
                <w:szCs w:val="20"/>
                <w:lang w:val="en-US" w:eastAsia="es-AR"/>
              </w:rPr>
            </w:pPr>
            <w:r w:rsidRPr="00EE5342">
              <w:rPr>
                <w:sz w:val="20"/>
                <w:szCs w:val="20"/>
                <w:lang w:val="en-US" w:eastAsia="es-AR"/>
              </w:rPr>
              <w:t>10.2353</w:t>
            </w:r>
          </w:p>
        </w:tc>
        <w:tc>
          <w:tcPr>
            <w:tcW w:w="1227" w:type="dxa"/>
          </w:tcPr>
          <w:p w14:paraId="69466430" w14:textId="77777777" w:rsidR="00C41769" w:rsidRPr="00EE5342" w:rsidRDefault="00C41769" w:rsidP="00557280">
            <w:pPr>
              <w:jc w:val="center"/>
              <w:rPr>
                <w:sz w:val="20"/>
                <w:szCs w:val="20"/>
              </w:rPr>
            </w:pPr>
            <w:r w:rsidRPr="00EE5342">
              <w:rPr>
                <w:sz w:val="20"/>
                <w:szCs w:val="20"/>
              </w:rPr>
              <w:t>43,053</w:t>
            </w:r>
          </w:p>
        </w:tc>
        <w:tc>
          <w:tcPr>
            <w:tcW w:w="1059" w:type="dxa"/>
            <w:noWrap/>
            <w:hideMark/>
          </w:tcPr>
          <w:p w14:paraId="4C7E724F" w14:textId="77777777" w:rsidR="00C41769" w:rsidRPr="00EE5342" w:rsidRDefault="00C41769" w:rsidP="00557280">
            <w:pPr>
              <w:jc w:val="center"/>
              <w:rPr>
                <w:sz w:val="20"/>
                <w:szCs w:val="20"/>
                <w:lang w:val="en-US" w:eastAsia="es-AR"/>
              </w:rPr>
            </w:pPr>
            <w:r w:rsidRPr="00EE5342">
              <w:rPr>
                <w:sz w:val="20"/>
                <w:szCs w:val="20"/>
                <w:lang w:val="en-US" w:eastAsia="es-AR"/>
              </w:rPr>
              <w:t>9.830907</w:t>
            </w:r>
          </w:p>
        </w:tc>
        <w:tc>
          <w:tcPr>
            <w:tcW w:w="1209" w:type="dxa"/>
            <w:vAlign w:val="center"/>
          </w:tcPr>
          <w:p w14:paraId="29F4179E" w14:textId="77777777" w:rsidR="00C41769" w:rsidRPr="00EE5342" w:rsidRDefault="00C41769" w:rsidP="00557280">
            <w:pPr>
              <w:jc w:val="center"/>
              <w:rPr>
                <w:sz w:val="20"/>
                <w:szCs w:val="20"/>
              </w:rPr>
            </w:pPr>
            <w:r w:rsidRPr="00EE5342">
              <w:rPr>
                <w:sz w:val="20"/>
                <w:szCs w:val="20"/>
              </w:rPr>
              <w:t>22,576</w:t>
            </w:r>
          </w:p>
        </w:tc>
        <w:tc>
          <w:tcPr>
            <w:tcW w:w="1281" w:type="dxa"/>
            <w:noWrap/>
            <w:hideMark/>
          </w:tcPr>
          <w:p w14:paraId="143AD6DA" w14:textId="77777777" w:rsidR="00C41769" w:rsidRPr="00EE5342" w:rsidRDefault="00C41769" w:rsidP="00557280">
            <w:pPr>
              <w:jc w:val="center"/>
              <w:rPr>
                <w:sz w:val="20"/>
                <w:szCs w:val="20"/>
                <w:lang w:val="en-US" w:eastAsia="es-AR"/>
              </w:rPr>
            </w:pPr>
            <w:r w:rsidRPr="00EE5342">
              <w:rPr>
                <w:sz w:val="20"/>
                <w:szCs w:val="20"/>
                <w:lang w:val="en-US" w:eastAsia="es-AR"/>
              </w:rPr>
              <w:t>33%</w:t>
            </w:r>
          </w:p>
        </w:tc>
      </w:tr>
      <w:tr w:rsidR="00C41769" w:rsidRPr="007C3120" w14:paraId="36452F63" w14:textId="77777777" w:rsidTr="00557280">
        <w:trPr>
          <w:trHeight w:val="300"/>
        </w:trPr>
        <w:tc>
          <w:tcPr>
            <w:tcW w:w="2268" w:type="dxa"/>
            <w:noWrap/>
          </w:tcPr>
          <w:p w14:paraId="33CB5863" w14:textId="77777777" w:rsidR="00C41769" w:rsidRPr="00EE5342" w:rsidRDefault="00C41769" w:rsidP="00557280">
            <w:pPr>
              <w:jc w:val="left"/>
              <w:rPr>
                <w:sz w:val="20"/>
                <w:szCs w:val="20"/>
                <w:lang w:val="en-US" w:eastAsia="es-AR"/>
              </w:rPr>
            </w:pPr>
            <w:r w:rsidRPr="00EE5342">
              <w:rPr>
                <w:sz w:val="20"/>
                <w:szCs w:val="20"/>
                <w:lang w:val="en-US" w:eastAsia="es-AR"/>
              </w:rPr>
              <w:t>Leather and its products</w:t>
            </w:r>
          </w:p>
        </w:tc>
        <w:tc>
          <w:tcPr>
            <w:tcW w:w="704" w:type="dxa"/>
            <w:noWrap/>
          </w:tcPr>
          <w:p w14:paraId="1B0AAFF9" w14:textId="77777777" w:rsidR="00C41769" w:rsidRPr="00EE5342" w:rsidRDefault="00C41769" w:rsidP="00557280">
            <w:pPr>
              <w:jc w:val="center"/>
              <w:rPr>
                <w:sz w:val="20"/>
                <w:szCs w:val="20"/>
                <w:lang w:val="en-US" w:eastAsia="es-AR"/>
              </w:rPr>
            </w:pPr>
            <w:r w:rsidRPr="00EE5342">
              <w:rPr>
                <w:sz w:val="20"/>
                <w:szCs w:val="20"/>
                <w:lang w:val="en-US" w:eastAsia="es-AR"/>
              </w:rPr>
              <w:t>32</w:t>
            </w:r>
          </w:p>
        </w:tc>
        <w:tc>
          <w:tcPr>
            <w:tcW w:w="1105" w:type="dxa"/>
            <w:noWrap/>
            <w:hideMark/>
          </w:tcPr>
          <w:p w14:paraId="040DAD6A" w14:textId="77777777" w:rsidR="00C41769" w:rsidRPr="00EE5342" w:rsidRDefault="00C41769" w:rsidP="00557280">
            <w:pPr>
              <w:jc w:val="center"/>
              <w:rPr>
                <w:sz w:val="20"/>
                <w:szCs w:val="20"/>
                <w:lang w:val="en-US" w:eastAsia="es-AR"/>
              </w:rPr>
            </w:pPr>
            <w:r w:rsidRPr="00EE5342">
              <w:rPr>
                <w:sz w:val="20"/>
                <w:szCs w:val="20"/>
                <w:lang w:val="en-US" w:eastAsia="es-AR"/>
              </w:rPr>
              <w:t>60</w:t>
            </w:r>
          </w:p>
        </w:tc>
        <w:tc>
          <w:tcPr>
            <w:tcW w:w="1212" w:type="dxa"/>
            <w:noWrap/>
            <w:hideMark/>
          </w:tcPr>
          <w:p w14:paraId="1BC279B3" w14:textId="77777777" w:rsidR="00C41769" w:rsidRPr="00EE5342" w:rsidRDefault="00C41769" w:rsidP="00557280">
            <w:pPr>
              <w:jc w:val="center"/>
              <w:rPr>
                <w:sz w:val="20"/>
                <w:szCs w:val="20"/>
                <w:lang w:val="en-US" w:eastAsia="es-AR"/>
              </w:rPr>
            </w:pPr>
            <w:r w:rsidRPr="00EE5342">
              <w:rPr>
                <w:sz w:val="20"/>
                <w:szCs w:val="20"/>
                <w:lang w:val="en-US" w:eastAsia="es-AR"/>
              </w:rPr>
              <w:t>10.59262</w:t>
            </w:r>
          </w:p>
        </w:tc>
        <w:tc>
          <w:tcPr>
            <w:tcW w:w="1227" w:type="dxa"/>
          </w:tcPr>
          <w:p w14:paraId="0EC398BA" w14:textId="77777777" w:rsidR="00C41769" w:rsidRPr="00EE5342" w:rsidRDefault="00C41769" w:rsidP="00557280">
            <w:pPr>
              <w:jc w:val="center"/>
              <w:rPr>
                <w:sz w:val="20"/>
                <w:szCs w:val="20"/>
              </w:rPr>
            </w:pPr>
            <w:r w:rsidRPr="00EE5342">
              <w:rPr>
                <w:sz w:val="20"/>
                <w:szCs w:val="20"/>
              </w:rPr>
              <w:t>61,423</w:t>
            </w:r>
          </w:p>
        </w:tc>
        <w:tc>
          <w:tcPr>
            <w:tcW w:w="1059" w:type="dxa"/>
            <w:noWrap/>
            <w:hideMark/>
          </w:tcPr>
          <w:p w14:paraId="00C6E31A" w14:textId="77777777" w:rsidR="00C41769" w:rsidRPr="00EE5342" w:rsidRDefault="00C41769" w:rsidP="00557280">
            <w:pPr>
              <w:jc w:val="center"/>
              <w:rPr>
                <w:sz w:val="20"/>
                <w:szCs w:val="20"/>
                <w:lang w:val="en-US" w:eastAsia="es-AR"/>
              </w:rPr>
            </w:pPr>
            <w:r w:rsidRPr="00EE5342">
              <w:rPr>
                <w:sz w:val="20"/>
                <w:szCs w:val="20"/>
                <w:lang w:val="en-US" w:eastAsia="es-AR"/>
              </w:rPr>
              <w:t>10.09019</w:t>
            </w:r>
          </w:p>
        </w:tc>
        <w:tc>
          <w:tcPr>
            <w:tcW w:w="1209" w:type="dxa"/>
            <w:vAlign w:val="center"/>
          </w:tcPr>
          <w:p w14:paraId="69031384" w14:textId="77777777" w:rsidR="00C41769" w:rsidRPr="00EE5342" w:rsidRDefault="00C41769" w:rsidP="00557280">
            <w:pPr>
              <w:jc w:val="center"/>
              <w:rPr>
                <w:sz w:val="20"/>
                <w:szCs w:val="20"/>
              </w:rPr>
            </w:pPr>
            <w:r w:rsidRPr="00EE5342">
              <w:rPr>
                <w:sz w:val="20"/>
                <w:szCs w:val="20"/>
              </w:rPr>
              <w:t>37,405</w:t>
            </w:r>
          </w:p>
        </w:tc>
        <w:tc>
          <w:tcPr>
            <w:tcW w:w="1281" w:type="dxa"/>
            <w:noWrap/>
            <w:hideMark/>
          </w:tcPr>
          <w:p w14:paraId="36109C33" w14:textId="77777777" w:rsidR="00C41769" w:rsidRPr="00EE5342" w:rsidRDefault="00C41769" w:rsidP="00557280">
            <w:pPr>
              <w:jc w:val="center"/>
              <w:rPr>
                <w:sz w:val="20"/>
                <w:szCs w:val="20"/>
                <w:lang w:val="en-US" w:eastAsia="es-AR"/>
              </w:rPr>
            </w:pPr>
            <w:r w:rsidRPr="00EE5342">
              <w:rPr>
                <w:sz w:val="20"/>
                <w:szCs w:val="20"/>
                <w:lang w:val="en-US" w:eastAsia="es-AR"/>
              </w:rPr>
              <w:t>47%</w:t>
            </w:r>
          </w:p>
        </w:tc>
      </w:tr>
      <w:tr w:rsidR="00C41769" w:rsidRPr="007C3120" w14:paraId="2B8ED0BA" w14:textId="77777777" w:rsidTr="00557280">
        <w:trPr>
          <w:trHeight w:val="204"/>
        </w:trPr>
        <w:tc>
          <w:tcPr>
            <w:tcW w:w="2268" w:type="dxa"/>
            <w:noWrap/>
          </w:tcPr>
          <w:p w14:paraId="1737C129" w14:textId="77777777" w:rsidR="00C41769" w:rsidRPr="00EE5342" w:rsidRDefault="00C41769" w:rsidP="00557280">
            <w:pPr>
              <w:jc w:val="left"/>
              <w:rPr>
                <w:sz w:val="20"/>
                <w:szCs w:val="20"/>
                <w:lang w:val="en-US" w:eastAsia="es-AR"/>
              </w:rPr>
            </w:pPr>
            <w:r w:rsidRPr="00EE5342">
              <w:rPr>
                <w:sz w:val="20"/>
                <w:szCs w:val="20"/>
                <w:lang w:val="en-US" w:eastAsia="es-AR"/>
              </w:rPr>
              <w:t>Wood and furniture</w:t>
            </w:r>
          </w:p>
        </w:tc>
        <w:tc>
          <w:tcPr>
            <w:tcW w:w="704" w:type="dxa"/>
            <w:noWrap/>
          </w:tcPr>
          <w:p w14:paraId="50F9ED5A" w14:textId="77777777" w:rsidR="00C41769" w:rsidRPr="00EE5342" w:rsidRDefault="00C41769" w:rsidP="00557280">
            <w:pPr>
              <w:jc w:val="center"/>
              <w:rPr>
                <w:sz w:val="20"/>
                <w:szCs w:val="20"/>
                <w:lang w:val="en-US" w:eastAsia="es-AR"/>
              </w:rPr>
            </w:pPr>
            <w:r w:rsidRPr="00EE5342">
              <w:rPr>
                <w:sz w:val="20"/>
                <w:szCs w:val="20"/>
                <w:lang w:val="en-US" w:eastAsia="es-AR"/>
              </w:rPr>
              <w:t>60</w:t>
            </w:r>
          </w:p>
        </w:tc>
        <w:tc>
          <w:tcPr>
            <w:tcW w:w="1105" w:type="dxa"/>
            <w:noWrap/>
            <w:hideMark/>
          </w:tcPr>
          <w:p w14:paraId="1F137D06" w14:textId="77777777" w:rsidR="00C41769" w:rsidRPr="00EE5342" w:rsidRDefault="00C41769" w:rsidP="00557280">
            <w:pPr>
              <w:jc w:val="center"/>
              <w:rPr>
                <w:sz w:val="20"/>
                <w:szCs w:val="20"/>
                <w:lang w:val="en-US" w:eastAsia="es-AR"/>
              </w:rPr>
            </w:pPr>
            <w:r w:rsidRPr="00EE5342">
              <w:rPr>
                <w:sz w:val="20"/>
                <w:szCs w:val="20"/>
                <w:lang w:val="en-US" w:eastAsia="es-AR"/>
              </w:rPr>
              <w:t>46</w:t>
            </w:r>
          </w:p>
        </w:tc>
        <w:tc>
          <w:tcPr>
            <w:tcW w:w="1212" w:type="dxa"/>
            <w:noWrap/>
            <w:hideMark/>
          </w:tcPr>
          <w:p w14:paraId="49B0152A" w14:textId="77777777" w:rsidR="00C41769" w:rsidRPr="00EE5342" w:rsidRDefault="00C41769" w:rsidP="00557280">
            <w:pPr>
              <w:jc w:val="center"/>
              <w:rPr>
                <w:sz w:val="20"/>
                <w:szCs w:val="20"/>
                <w:lang w:val="en-US" w:eastAsia="es-AR"/>
              </w:rPr>
            </w:pPr>
            <w:r w:rsidRPr="00EE5342">
              <w:rPr>
                <w:sz w:val="20"/>
                <w:szCs w:val="20"/>
                <w:lang w:val="en-US" w:eastAsia="es-AR"/>
              </w:rPr>
              <w:t>10.02906</w:t>
            </w:r>
          </w:p>
        </w:tc>
        <w:tc>
          <w:tcPr>
            <w:tcW w:w="1227" w:type="dxa"/>
          </w:tcPr>
          <w:p w14:paraId="0328B8C3" w14:textId="77777777" w:rsidR="00C41769" w:rsidRPr="00EE5342" w:rsidRDefault="00C41769" w:rsidP="00557280">
            <w:pPr>
              <w:jc w:val="center"/>
              <w:rPr>
                <w:sz w:val="20"/>
                <w:szCs w:val="20"/>
              </w:rPr>
            </w:pPr>
            <w:r w:rsidRPr="00EE5342">
              <w:rPr>
                <w:sz w:val="20"/>
                <w:szCs w:val="20"/>
              </w:rPr>
              <w:t>35,557</w:t>
            </w:r>
          </w:p>
        </w:tc>
        <w:tc>
          <w:tcPr>
            <w:tcW w:w="1059" w:type="dxa"/>
            <w:noWrap/>
            <w:hideMark/>
          </w:tcPr>
          <w:p w14:paraId="4C44D5C6" w14:textId="77777777" w:rsidR="00C41769" w:rsidRPr="00EE5342" w:rsidRDefault="00C41769" w:rsidP="00557280">
            <w:pPr>
              <w:jc w:val="center"/>
              <w:rPr>
                <w:sz w:val="20"/>
                <w:szCs w:val="20"/>
                <w:lang w:val="en-US" w:eastAsia="es-AR"/>
              </w:rPr>
            </w:pPr>
            <w:r w:rsidRPr="00EE5342">
              <w:rPr>
                <w:sz w:val="20"/>
                <w:szCs w:val="20"/>
                <w:lang w:val="en-US" w:eastAsia="es-AR"/>
              </w:rPr>
              <w:t>9.913654</w:t>
            </w:r>
          </w:p>
        </w:tc>
        <w:tc>
          <w:tcPr>
            <w:tcW w:w="1209" w:type="dxa"/>
            <w:vAlign w:val="center"/>
          </w:tcPr>
          <w:p w14:paraId="07C9EAF9" w14:textId="77777777" w:rsidR="00C41769" w:rsidRPr="00EE5342" w:rsidRDefault="00C41769" w:rsidP="00557280">
            <w:pPr>
              <w:jc w:val="center"/>
              <w:rPr>
                <w:sz w:val="20"/>
                <w:szCs w:val="20"/>
              </w:rPr>
            </w:pPr>
            <w:r w:rsidRPr="00EE5342">
              <w:rPr>
                <w:sz w:val="20"/>
                <w:szCs w:val="20"/>
              </w:rPr>
              <w:t>23,218</w:t>
            </w:r>
          </w:p>
        </w:tc>
        <w:tc>
          <w:tcPr>
            <w:tcW w:w="1281" w:type="dxa"/>
            <w:noWrap/>
            <w:hideMark/>
          </w:tcPr>
          <w:p w14:paraId="6847F4FF" w14:textId="77777777" w:rsidR="00C41769" w:rsidRPr="00EE5342" w:rsidRDefault="00C41769" w:rsidP="00557280">
            <w:pPr>
              <w:jc w:val="center"/>
              <w:rPr>
                <w:sz w:val="20"/>
                <w:szCs w:val="20"/>
                <w:lang w:val="en-US" w:eastAsia="es-AR"/>
              </w:rPr>
            </w:pPr>
            <w:r w:rsidRPr="00EE5342">
              <w:rPr>
                <w:sz w:val="20"/>
                <w:szCs w:val="20"/>
                <w:lang w:val="en-US" w:eastAsia="es-AR"/>
              </w:rPr>
              <w:t>35%</w:t>
            </w:r>
          </w:p>
        </w:tc>
      </w:tr>
      <w:tr w:rsidR="00C41769" w:rsidRPr="007C3120" w14:paraId="4681E5A8" w14:textId="77777777" w:rsidTr="00557280">
        <w:trPr>
          <w:trHeight w:val="310"/>
        </w:trPr>
        <w:tc>
          <w:tcPr>
            <w:tcW w:w="2268" w:type="dxa"/>
            <w:noWrap/>
          </w:tcPr>
          <w:p w14:paraId="20EA2D3D" w14:textId="77777777" w:rsidR="00C41769" w:rsidRPr="00EE5342" w:rsidRDefault="00C41769" w:rsidP="00557280">
            <w:pPr>
              <w:jc w:val="left"/>
              <w:rPr>
                <w:sz w:val="20"/>
                <w:szCs w:val="20"/>
                <w:lang w:val="en-US" w:eastAsia="es-AR"/>
              </w:rPr>
            </w:pPr>
            <w:r w:rsidRPr="00EE5342">
              <w:rPr>
                <w:sz w:val="20"/>
                <w:szCs w:val="20"/>
                <w:lang w:val="en-US" w:eastAsia="es-AR"/>
              </w:rPr>
              <w:t>Paper and its products</w:t>
            </w:r>
          </w:p>
        </w:tc>
        <w:tc>
          <w:tcPr>
            <w:tcW w:w="704" w:type="dxa"/>
            <w:noWrap/>
          </w:tcPr>
          <w:p w14:paraId="52D64371" w14:textId="77777777" w:rsidR="00C41769" w:rsidRPr="00EE5342" w:rsidRDefault="00C41769" w:rsidP="00557280">
            <w:pPr>
              <w:jc w:val="center"/>
              <w:rPr>
                <w:sz w:val="20"/>
                <w:szCs w:val="20"/>
                <w:lang w:val="en-US" w:eastAsia="es-AR"/>
              </w:rPr>
            </w:pPr>
            <w:r w:rsidRPr="00EE5342">
              <w:rPr>
                <w:sz w:val="20"/>
                <w:szCs w:val="20"/>
                <w:lang w:val="en-US" w:eastAsia="es-AR"/>
              </w:rPr>
              <w:t>42</w:t>
            </w:r>
          </w:p>
        </w:tc>
        <w:tc>
          <w:tcPr>
            <w:tcW w:w="1105" w:type="dxa"/>
            <w:noWrap/>
            <w:hideMark/>
          </w:tcPr>
          <w:p w14:paraId="00E62E6E" w14:textId="77777777" w:rsidR="00C41769" w:rsidRPr="00EE5342" w:rsidRDefault="00C41769" w:rsidP="00557280">
            <w:pPr>
              <w:jc w:val="center"/>
              <w:rPr>
                <w:sz w:val="20"/>
                <w:szCs w:val="20"/>
                <w:lang w:val="en-US" w:eastAsia="es-AR"/>
              </w:rPr>
            </w:pPr>
            <w:r w:rsidRPr="00EE5342">
              <w:rPr>
                <w:sz w:val="20"/>
                <w:szCs w:val="20"/>
                <w:lang w:val="en-US" w:eastAsia="es-AR"/>
              </w:rPr>
              <w:t>75</w:t>
            </w:r>
          </w:p>
        </w:tc>
        <w:tc>
          <w:tcPr>
            <w:tcW w:w="1212" w:type="dxa"/>
            <w:noWrap/>
            <w:hideMark/>
          </w:tcPr>
          <w:p w14:paraId="198FE66A" w14:textId="77777777" w:rsidR="00C41769" w:rsidRPr="00EE5342" w:rsidRDefault="00C41769" w:rsidP="00557280">
            <w:pPr>
              <w:jc w:val="center"/>
              <w:rPr>
                <w:sz w:val="20"/>
                <w:szCs w:val="20"/>
                <w:lang w:val="en-US" w:eastAsia="es-AR"/>
              </w:rPr>
            </w:pPr>
            <w:r w:rsidRPr="00EE5342">
              <w:rPr>
                <w:sz w:val="20"/>
                <w:szCs w:val="20"/>
                <w:lang w:val="en-US" w:eastAsia="es-AR"/>
              </w:rPr>
              <w:t>10.62018</w:t>
            </w:r>
          </w:p>
        </w:tc>
        <w:tc>
          <w:tcPr>
            <w:tcW w:w="1227" w:type="dxa"/>
          </w:tcPr>
          <w:p w14:paraId="408729AE" w14:textId="77777777" w:rsidR="00C41769" w:rsidRPr="00EE5342" w:rsidRDefault="00C41769" w:rsidP="00557280">
            <w:pPr>
              <w:jc w:val="center"/>
              <w:rPr>
                <w:sz w:val="20"/>
                <w:szCs w:val="20"/>
              </w:rPr>
            </w:pPr>
            <w:r w:rsidRPr="00EE5342">
              <w:rPr>
                <w:sz w:val="20"/>
                <w:szCs w:val="20"/>
              </w:rPr>
              <w:t>49,621</w:t>
            </w:r>
          </w:p>
        </w:tc>
        <w:tc>
          <w:tcPr>
            <w:tcW w:w="1059" w:type="dxa"/>
            <w:noWrap/>
            <w:hideMark/>
          </w:tcPr>
          <w:p w14:paraId="1C56CDE5" w14:textId="77777777" w:rsidR="00C41769" w:rsidRPr="00EE5342" w:rsidRDefault="00C41769" w:rsidP="00557280">
            <w:pPr>
              <w:jc w:val="center"/>
              <w:rPr>
                <w:sz w:val="20"/>
                <w:szCs w:val="20"/>
                <w:lang w:val="en-US" w:eastAsia="es-AR"/>
              </w:rPr>
            </w:pPr>
            <w:r w:rsidRPr="00EE5342">
              <w:rPr>
                <w:sz w:val="20"/>
                <w:szCs w:val="20"/>
                <w:lang w:val="en-US" w:eastAsia="es-AR"/>
              </w:rPr>
              <w:t>10.2037</w:t>
            </w:r>
          </w:p>
        </w:tc>
        <w:tc>
          <w:tcPr>
            <w:tcW w:w="1209" w:type="dxa"/>
            <w:vAlign w:val="center"/>
          </w:tcPr>
          <w:p w14:paraId="49258589" w14:textId="77777777" w:rsidR="00C41769" w:rsidRPr="00EE5342" w:rsidRDefault="00C41769" w:rsidP="00557280">
            <w:pPr>
              <w:jc w:val="center"/>
              <w:rPr>
                <w:sz w:val="20"/>
                <w:szCs w:val="20"/>
              </w:rPr>
            </w:pPr>
            <w:r w:rsidRPr="00EE5342">
              <w:rPr>
                <w:sz w:val="20"/>
                <w:szCs w:val="20"/>
              </w:rPr>
              <w:t>30,458</w:t>
            </w:r>
          </w:p>
        </w:tc>
        <w:tc>
          <w:tcPr>
            <w:tcW w:w="1281" w:type="dxa"/>
            <w:noWrap/>
            <w:hideMark/>
          </w:tcPr>
          <w:p w14:paraId="3F80AD37" w14:textId="77777777" w:rsidR="00C41769" w:rsidRPr="00EE5342" w:rsidRDefault="00C41769" w:rsidP="00557280">
            <w:pPr>
              <w:jc w:val="center"/>
              <w:rPr>
                <w:sz w:val="20"/>
                <w:szCs w:val="20"/>
                <w:lang w:val="en-US" w:eastAsia="es-AR"/>
              </w:rPr>
            </w:pPr>
            <w:r w:rsidRPr="00EE5342">
              <w:rPr>
                <w:sz w:val="20"/>
                <w:szCs w:val="20"/>
                <w:lang w:val="en-US" w:eastAsia="es-AR"/>
              </w:rPr>
              <w:t>55%</w:t>
            </w:r>
          </w:p>
        </w:tc>
      </w:tr>
      <w:tr w:rsidR="00C41769" w:rsidRPr="007C3120" w14:paraId="68D7C66A" w14:textId="77777777" w:rsidTr="00557280">
        <w:trPr>
          <w:trHeight w:val="274"/>
        </w:trPr>
        <w:tc>
          <w:tcPr>
            <w:tcW w:w="2268" w:type="dxa"/>
            <w:noWrap/>
          </w:tcPr>
          <w:p w14:paraId="00542D3C" w14:textId="77777777" w:rsidR="00C41769" w:rsidRPr="00EE5342" w:rsidRDefault="00C41769" w:rsidP="00557280">
            <w:pPr>
              <w:jc w:val="left"/>
              <w:rPr>
                <w:sz w:val="20"/>
                <w:szCs w:val="20"/>
                <w:lang w:val="en-US" w:eastAsia="es-AR"/>
              </w:rPr>
            </w:pPr>
            <w:r w:rsidRPr="00EE5342">
              <w:rPr>
                <w:sz w:val="20"/>
                <w:szCs w:val="20"/>
                <w:lang w:val="en-US" w:eastAsia="es-AR"/>
              </w:rPr>
              <w:t>Editorial industry</w:t>
            </w:r>
          </w:p>
        </w:tc>
        <w:tc>
          <w:tcPr>
            <w:tcW w:w="704" w:type="dxa"/>
            <w:noWrap/>
          </w:tcPr>
          <w:p w14:paraId="38580A0C" w14:textId="77777777" w:rsidR="00C41769" w:rsidRPr="00EE5342" w:rsidRDefault="00C41769" w:rsidP="00557280">
            <w:pPr>
              <w:jc w:val="center"/>
              <w:rPr>
                <w:sz w:val="20"/>
                <w:szCs w:val="20"/>
                <w:lang w:val="en-US" w:eastAsia="es-AR"/>
              </w:rPr>
            </w:pPr>
            <w:r w:rsidRPr="00EE5342">
              <w:rPr>
                <w:sz w:val="20"/>
                <w:szCs w:val="20"/>
                <w:lang w:val="en-US" w:eastAsia="es-AR"/>
              </w:rPr>
              <w:t>75</w:t>
            </w:r>
          </w:p>
        </w:tc>
        <w:tc>
          <w:tcPr>
            <w:tcW w:w="1105" w:type="dxa"/>
            <w:noWrap/>
            <w:hideMark/>
          </w:tcPr>
          <w:p w14:paraId="2486517E" w14:textId="77777777" w:rsidR="00C41769" w:rsidRPr="00EE5342" w:rsidRDefault="00C41769" w:rsidP="00557280">
            <w:pPr>
              <w:jc w:val="center"/>
              <w:rPr>
                <w:sz w:val="20"/>
                <w:szCs w:val="20"/>
                <w:lang w:val="en-US" w:eastAsia="es-AR"/>
              </w:rPr>
            </w:pPr>
            <w:r w:rsidRPr="00EE5342">
              <w:rPr>
                <w:sz w:val="20"/>
                <w:szCs w:val="20"/>
                <w:lang w:val="en-US" w:eastAsia="es-AR"/>
              </w:rPr>
              <w:t>55</w:t>
            </w:r>
          </w:p>
        </w:tc>
        <w:tc>
          <w:tcPr>
            <w:tcW w:w="1212" w:type="dxa"/>
            <w:noWrap/>
            <w:hideMark/>
          </w:tcPr>
          <w:p w14:paraId="4FF11C8C" w14:textId="77777777" w:rsidR="00C41769" w:rsidRPr="00EE5342" w:rsidRDefault="00C41769" w:rsidP="00557280">
            <w:pPr>
              <w:jc w:val="center"/>
              <w:rPr>
                <w:sz w:val="20"/>
                <w:szCs w:val="20"/>
                <w:lang w:val="en-US" w:eastAsia="es-AR"/>
              </w:rPr>
            </w:pPr>
            <w:r w:rsidRPr="00EE5342">
              <w:rPr>
                <w:sz w:val="20"/>
                <w:szCs w:val="20"/>
                <w:lang w:val="en-US" w:eastAsia="es-AR"/>
              </w:rPr>
              <w:t>10.73808</w:t>
            </w:r>
          </w:p>
        </w:tc>
        <w:tc>
          <w:tcPr>
            <w:tcW w:w="1227" w:type="dxa"/>
          </w:tcPr>
          <w:p w14:paraId="6FE11587" w14:textId="77777777" w:rsidR="00C41769" w:rsidRPr="00EE5342" w:rsidRDefault="00C41769" w:rsidP="00557280">
            <w:pPr>
              <w:jc w:val="center"/>
              <w:rPr>
                <w:sz w:val="20"/>
                <w:szCs w:val="20"/>
              </w:rPr>
            </w:pPr>
            <w:r w:rsidRPr="00EE5342">
              <w:rPr>
                <w:sz w:val="20"/>
                <w:szCs w:val="20"/>
              </w:rPr>
              <w:t>61,611</w:t>
            </w:r>
          </w:p>
        </w:tc>
        <w:tc>
          <w:tcPr>
            <w:tcW w:w="1059" w:type="dxa"/>
            <w:noWrap/>
            <w:hideMark/>
          </w:tcPr>
          <w:p w14:paraId="2903C0C0" w14:textId="77777777" w:rsidR="00C41769" w:rsidRPr="00EE5342" w:rsidRDefault="00C41769" w:rsidP="00557280">
            <w:pPr>
              <w:jc w:val="center"/>
              <w:rPr>
                <w:sz w:val="20"/>
                <w:szCs w:val="20"/>
                <w:lang w:val="en-US" w:eastAsia="es-AR"/>
              </w:rPr>
            </w:pPr>
            <w:r w:rsidRPr="00EE5342">
              <w:rPr>
                <w:sz w:val="20"/>
                <w:szCs w:val="20"/>
                <w:lang w:val="en-US" w:eastAsia="es-AR"/>
              </w:rPr>
              <w:t>10.2077</w:t>
            </w:r>
          </w:p>
        </w:tc>
        <w:tc>
          <w:tcPr>
            <w:tcW w:w="1209" w:type="dxa"/>
            <w:vAlign w:val="center"/>
          </w:tcPr>
          <w:p w14:paraId="10063E06" w14:textId="77777777" w:rsidR="00C41769" w:rsidRPr="00EE5342" w:rsidRDefault="00C41769" w:rsidP="00557280">
            <w:pPr>
              <w:jc w:val="center"/>
              <w:rPr>
                <w:sz w:val="20"/>
                <w:szCs w:val="20"/>
              </w:rPr>
            </w:pPr>
            <w:r w:rsidRPr="00EE5342">
              <w:rPr>
                <w:sz w:val="20"/>
                <w:szCs w:val="20"/>
              </w:rPr>
              <w:t>32,955</w:t>
            </w:r>
          </w:p>
        </w:tc>
        <w:tc>
          <w:tcPr>
            <w:tcW w:w="1281" w:type="dxa"/>
            <w:noWrap/>
            <w:hideMark/>
          </w:tcPr>
          <w:p w14:paraId="5A862F77" w14:textId="77777777" w:rsidR="00C41769" w:rsidRPr="00EE5342" w:rsidRDefault="00C41769" w:rsidP="00557280">
            <w:pPr>
              <w:jc w:val="center"/>
              <w:rPr>
                <w:sz w:val="20"/>
                <w:szCs w:val="20"/>
                <w:lang w:val="en-US" w:eastAsia="es-AR"/>
              </w:rPr>
            </w:pPr>
            <w:r w:rsidRPr="00EE5342">
              <w:rPr>
                <w:sz w:val="20"/>
                <w:szCs w:val="20"/>
                <w:lang w:val="en-US" w:eastAsia="es-AR"/>
              </w:rPr>
              <w:t>57%</w:t>
            </w:r>
          </w:p>
        </w:tc>
      </w:tr>
      <w:tr w:rsidR="00C41769" w:rsidRPr="007C3120" w14:paraId="45D6EED7" w14:textId="77777777" w:rsidTr="00557280">
        <w:trPr>
          <w:trHeight w:val="238"/>
        </w:trPr>
        <w:tc>
          <w:tcPr>
            <w:tcW w:w="2268" w:type="dxa"/>
            <w:noWrap/>
          </w:tcPr>
          <w:p w14:paraId="38E3B6B6" w14:textId="77777777" w:rsidR="00C41769" w:rsidRPr="00EE5342" w:rsidRDefault="00C41769" w:rsidP="00557280">
            <w:pPr>
              <w:jc w:val="left"/>
              <w:rPr>
                <w:sz w:val="20"/>
                <w:szCs w:val="20"/>
                <w:lang w:val="en-US" w:eastAsia="es-AR"/>
              </w:rPr>
            </w:pPr>
            <w:r w:rsidRPr="00EE5342">
              <w:rPr>
                <w:sz w:val="20"/>
                <w:szCs w:val="20"/>
                <w:lang w:val="en-US" w:eastAsia="es-AR"/>
              </w:rPr>
              <w:t>Chemicals</w:t>
            </w:r>
          </w:p>
        </w:tc>
        <w:tc>
          <w:tcPr>
            <w:tcW w:w="704" w:type="dxa"/>
            <w:noWrap/>
          </w:tcPr>
          <w:p w14:paraId="12E534AB" w14:textId="77777777" w:rsidR="00C41769" w:rsidRPr="00EE5342" w:rsidRDefault="00C41769" w:rsidP="00557280">
            <w:pPr>
              <w:jc w:val="center"/>
              <w:rPr>
                <w:sz w:val="20"/>
                <w:szCs w:val="20"/>
                <w:lang w:val="en-US" w:eastAsia="es-AR"/>
              </w:rPr>
            </w:pPr>
            <w:r w:rsidRPr="00EE5342">
              <w:rPr>
                <w:sz w:val="20"/>
                <w:szCs w:val="20"/>
                <w:lang w:val="en-US" w:eastAsia="es-AR"/>
              </w:rPr>
              <w:t>65</w:t>
            </w:r>
          </w:p>
        </w:tc>
        <w:tc>
          <w:tcPr>
            <w:tcW w:w="1105" w:type="dxa"/>
            <w:noWrap/>
            <w:hideMark/>
          </w:tcPr>
          <w:p w14:paraId="7E2241B5" w14:textId="77777777" w:rsidR="00C41769" w:rsidRPr="00EE5342" w:rsidRDefault="00C41769" w:rsidP="00557280">
            <w:pPr>
              <w:jc w:val="center"/>
              <w:rPr>
                <w:sz w:val="20"/>
                <w:szCs w:val="20"/>
                <w:lang w:val="en-US" w:eastAsia="es-AR"/>
              </w:rPr>
            </w:pPr>
            <w:r w:rsidRPr="00EE5342">
              <w:rPr>
                <w:sz w:val="20"/>
                <w:szCs w:val="20"/>
                <w:lang w:val="en-US" w:eastAsia="es-AR"/>
              </w:rPr>
              <w:t>64</w:t>
            </w:r>
          </w:p>
        </w:tc>
        <w:tc>
          <w:tcPr>
            <w:tcW w:w="1212" w:type="dxa"/>
            <w:noWrap/>
            <w:hideMark/>
          </w:tcPr>
          <w:p w14:paraId="033FC8CD" w14:textId="77777777" w:rsidR="00C41769" w:rsidRPr="00EE5342" w:rsidRDefault="00C41769" w:rsidP="00557280">
            <w:pPr>
              <w:jc w:val="center"/>
              <w:rPr>
                <w:sz w:val="20"/>
                <w:szCs w:val="20"/>
                <w:lang w:val="en-US" w:eastAsia="es-AR"/>
              </w:rPr>
            </w:pPr>
            <w:r w:rsidRPr="00EE5342">
              <w:rPr>
                <w:sz w:val="20"/>
                <w:szCs w:val="20"/>
                <w:lang w:val="en-US" w:eastAsia="es-AR"/>
              </w:rPr>
              <w:t>11.15643</w:t>
            </w:r>
          </w:p>
        </w:tc>
        <w:tc>
          <w:tcPr>
            <w:tcW w:w="1227" w:type="dxa"/>
          </w:tcPr>
          <w:p w14:paraId="41070051" w14:textId="77777777" w:rsidR="00C41769" w:rsidRPr="00EE5342" w:rsidRDefault="00C41769" w:rsidP="00557280">
            <w:pPr>
              <w:jc w:val="center"/>
              <w:rPr>
                <w:sz w:val="20"/>
                <w:szCs w:val="20"/>
              </w:rPr>
            </w:pPr>
            <w:r w:rsidRPr="00EE5342">
              <w:rPr>
                <w:sz w:val="20"/>
                <w:szCs w:val="20"/>
              </w:rPr>
              <w:t>108,498</w:t>
            </w:r>
          </w:p>
        </w:tc>
        <w:tc>
          <w:tcPr>
            <w:tcW w:w="1059" w:type="dxa"/>
            <w:noWrap/>
            <w:hideMark/>
          </w:tcPr>
          <w:p w14:paraId="44A404D6" w14:textId="77777777" w:rsidR="00C41769" w:rsidRPr="00EE5342" w:rsidRDefault="00C41769" w:rsidP="00557280">
            <w:pPr>
              <w:jc w:val="center"/>
              <w:rPr>
                <w:sz w:val="20"/>
                <w:szCs w:val="20"/>
                <w:lang w:val="en-US" w:eastAsia="es-AR"/>
              </w:rPr>
            </w:pPr>
            <w:r w:rsidRPr="00EE5342">
              <w:rPr>
                <w:sz w:val="20"/>
                <w:szCs w:val="20"/>
                <w:lang w:val="en-US" w:eastAsia="es-AR"/>
              </w:rPr>
              <w:t>10.52449</w:t>
            </w:r>
          </w:p>
        </w:tc>
        <w:tc>
          <w:tcPr>
            <w:tcW w:w="1209" w:type="dxa"/>
            <w:vAlign w:val="center"/>
          </w:tcPr>
          <w:p w14:paraId="635A5550" w14:textId="77777777" w:rsidR="00C41769" w:rsidRPr="00EE5342" w:rsidRDefault="00C41769" w:rsidP="00557280">
            <w:pPr>
              <w:jc w:val="center"/>
              <w:rPr>
                <w:sz w:val="20"/>
                <w:szCs w:val="20"/>
              </w:rPr>
            </w:pPr>
            <w:r w:rsidRPr="00EE5342">
              <w:rPr>
                <w:sz w:val="20"/>
                <w:szCs w:val="20"/>
              </w:rPr>
              <w:t>50,569</w:t>
            </w:r>
          </w:p>
        </w:tc>
        <w:tc>
          <w:tcPr>
            <w:tcW w:w="1281" w:type="dxa"/>
            <w:noWrap/>
            <w:hideMark/>
          </w:tcPr>
          <w:p w14:paraId="1B87DA85" w14:textId="77777777" w:rsidR="00C41769" w:rsidRPr="00EE5342" w:rsidRDefault="00C41769" w:rsidP="00557280">
            <w:pPr>
              <w:jc w:val="center"/>
              <w:rPr>
                <w:sz w:val="20"/>
                <w:szCs w:val="20"/>
                <w:lang w:val="en-US" w:eastAsia="es-AR"/>
              </w:rPr>
            </w:pPr>
            <w:r w:rsidRPr="00EE5342">
              <w:rPr>
                <w:sz w:val="20"/>
                <w:szCs w:val="20"/>
                <w:lang w:val="en-US" w:eastAsia="es-AR"/>
              </w:rPr>
              <w:t>77%</w:t>
            </w:r>
          </w:p>
        </w:tc>
      </w:tr>
      <w:tr w:rsidR="00C41769" w:rsidRPr="007C3120" w14:paraId="0BB09E6C" w14:textId="77777777" w:rsidTr="00557280">
        <w:trPr>
          <w:trHeight w:val="300"/>
        </w:trPr>
        <w:tc>
          <w:tcPr>
            <w:tcW w:w="2268" w:type="dxa"/>
            <w:noWrap/>
          </w:tcPr>
          <w:p w14:paraId="619595BB" w14:textId="77777777" w:rsidR="00C41769" w:rsidRPr="00EE5342" w:rsidRDefault="00C41769" w:rsidP="00557280">
            <w:pPr>
              <w:jc w:val="left"/>
              <w:rPr>
                <w:sz w:val="20"/>
                <w:szCs w:val="20"/>
                <w:lang w:val="en-US" w:eastAsia="es-AR"/>
              </w:rPr>
            </w:pPr>
            <w:r w:rsidRPr="00EE5342">
              <w:rPr>
                <w:sz w:val="20"/>
                <w:szCs w:val="20"/>
                <w:lang w:val="en-US" w:eastAsia="es-AR"/>
              </w:rPr>
              <w:t>Rubber and plastic</w:t>
            </w:r>
          </w:p>
        </w:tc>
        <w:tc>
          <w:tcPr>
            <w:tcW w:w="704" w:type="dxa"/>
            <w:noWrap/>
          </w:tcPr>
          <w:p w14:paraId="429E08CA" w14:textId="77777777" w:rsidR="00C41769" w:rsidRPr="00EE5342" w:rsidRDefault="00C41769" w:rsidP="00557280">
            <w:pPr>
              <w:jc w:val="center"/>
              <w:rPr>
                <w:sz w:val="20"/>
                <w:szCs w:val="20"/>
                <w:lang w:val="en-US" w:eastAsia="es-AR"/>
              </w:rPr>
            </w:pPr>
            <w:r w:rsidRPr="00EE5342">
              <w:rPr>
                <w:sz w:val="20"/>
                <w:szCs w:val="20"/>
                <w:lang w:val="en-US" w:eastAsia="es-AR"/>
              </w:rPr>
              <w:t>117</w:t>
            </w:r>
          </w:p>
        </w:tc>
        <w:tc>
          <w:tcPr>
            <w:tcW w:w="1105" w:type="dxa"/>
            <w:noWrap/>
            <w:hideMark/>
          </w:tcPr>
          <w:p w14:paraId="43C40FC4" w14:textId="77777777" w:rsidR="00C41769" w:rsidRPr="00EE5342" w:rsidRDefault="00C41769" w:rsidP="00557280">
            <w:pPr>
              <w:jc w:val="center"/>
              <w:rPr>
                <w:sz w:val="20"/>
                <w:szCs w:val="20"/>
                <w:lang w:val="en-US" w:eastAsia="es-AR"/>
              </w:rPr>
            </w:pPr>
            <w:r w:rsidRPr="00EE5342">
              <w:rPr>
                <w:sz w:val="20"/>
                <w:szCs w:val="20"/>
                <w:lang w:val="en-US" w:eastAsia="es-AR"/>
              </w:rPr>
              <w:t>58</w:t>
            </w:r>
          </w:p>
        </w:tc>
        <w:tc>
          <w:tcPr>
            <w:tcW w:w="1212" w:type="dxa"/>
            <w:noWrap/>
            <w:hideMark/>
          </w:tcPr>
          <w:p w14:paraId="539D98A3" w14:textId="77777777" w:rsidR="00C41769" w:rsidRPr="00EE5342" w:rsidRDefault="00C41769" w:rsidP="00557280">
            <w:pPr>
              <w:jc w:val="center"/>
              <w:rPr>
                <w:sz w:val="20"/>
                <w:szCs w:val="20"/>
                <w:lang w:val="en-US" w:eastAsia="es-AR"/>
              </w:rPr>
            </w:pPr>
            <w:r w:rsidRPr="00EE5342">
              <w:rPr>
                <w:sz w:val="20"/>
                <w:szCs w:val="20"/>
                <w:lang w:val="en-US" w:eastAsia="es-AR"/>
              </w:rPr>
              <w:t>10.73421</w:t>
            </w:r>
          </w:p>
        </w:tc>
        <w:tc>
          <w:tcPr>
            <w:tcW w:w="1227" w:type="dxa"/>
          </w:tcPr>
          <w:p w14:paraId="5FF57529" w14:textId="77777777" w:rsidR="00C41769" w:rsidRPr="00EE5342" w:rsidRDefault="00C41769" w:rsidP="00557280">
            <w:pPr>
              <w:jc w:val="center"/>
              <w:rPr>
                <w:sz w:val="20"/>
                <w:szCs w:val="20"/>
              </w:rPr>
            </w:pPr>
            <w:r w:rsidRPr="00EE5342">
              <w:rPr>
                <w:sz w:val="20"/>
                <w:szCs w:val="20"/>
              </w:rPr>
              <w:t>58,269</w:t>
            </w:r>
          </w:p>
        </w:tc>
        <w:tc>
          <w:tcPr>
            <w:tcW w:w="1059" w:type="dxa"/>
            <w:noWrap/>
            <w:hideMark/>
          </w:tcPr>
          <w:p w14:paraId="669C9ED4" w14:textId="77777777" w:rsidR="00C41769" w:rsidRPr="00EE5342" w:rsidRDefault="00C41769" w:rsidP="00557280">
            <w:pPr>
              <w:jc w:val="center"/>
              <w:rPr>
                <w:sz w:val="20"/>
                <w:szCs w:val="20"/>
                <w:lang w:val="en-US" w:eastAsia="es-AR"/>
              </w:rPr>
            </w:pPr>
            <w:r w:rsidRPr="00EE5342">
              <w:rPr>
                <w:sz w:val="20"/>
                <w:szCs w:val="20"/>
                <w:lang w:val="en-US" w:eastAsia="es-AR"/>
              </w:rPr>
              <w:t>10.23897</w:t>
            </w:r>
          </w:p>
        </w:tc>
        <w:tc>
          <w:tcPr>
            <w:tcW w:w="1209" w:type="dxa"/>
            <w:vAlign w:val="center"/>
          </w:tcPr>
          <w:p w14:paraId="21860B4D" w14:textId="77777777" w:rsidR="00C41769" w:rsidRPr="00EE5342" w:rsidRDefault="00C41769" w:rsidP="00557280">
            <w:pPr>
              <w:jc w:val="center"/>
              <w:rPr>
                <w:sz w:val="20"/>
                <w:szCs w:val="20"/>
              </w:rPr>
            </w:pPr>
            <w:r w:rsidRPr="00EE5342">
              <w:rPr>
                <w:sz w:val="20"/>
                <w:szCs w:val="20"/>
              </w:rPr>
              <w:t>34,380</w:t>
            </w:r>
          </w:p>
        </w:tc>
        <w:tc>
          <w:tcPr>
            <w:tcW w:w="1281" w:type="dxa"/>
            <w:noWrap/>
            <w:hideMark/>
          </w:tcPr>
          <w:p w14:paraId="2E6C4C1C" w14:textId="77777777" w:rsidR="00C41769" w:rsidRPr="00EE5342" w:rsidRDefault="00C41769" w:rsidP="00557280">
            <w:pPr>
              <w:jc w:val="center"/>
              <w:rPr>
                <w:sz w:val="20"/>
                <w:szCs w:val="20"/>
                <w:lang w:val="en-US" w:eastAsia="es-AR"/>
              </w:rPr>
            </w:pPr>
            <w:r w:rsidRPr="00EE5342">
              <w:rPr>
                <w:sz w:val="20"/>
                <w:szCs w:val="20"/>
                <w:lang w:val="en-US" w:eastAsia="es-AR"/>
              </w:rPr>
              <w:t>67%</w:t>
            </w:r>
          </w:p>
        </w:tc>
      </w:tr>
      <w:tr w:rsidR="00C41769" w:rsidRPr="007C3120" w14:paraId="3E9CE94A" w14:textId="77777777" w:rsidTr="00557280">
        <w:trPr>
          <w:trHeight w:val="224"/>
        </w:trPr>
        <w:tc>
          <w:tcPr>
            <w:tcW w:w="2268" w:type="dxa"/>
            <w:noWrap/>
          </w:tcPr>
          <w:p w14:paraId="11BA5D52" w14:textId="77777777" w:rsidR="00C41769" w:rsidRPr="00EE5342" w:rsidRDefault="00C41769" w:rsidP="00557280">
            <w:pPr>
              <w:jc w:val="left"/>
              <w:rPr>
                <w:sz w:val="20"/>
                <w:szCs w:val="20"/>
                <w:lang w:val="en-US" w:eastAsia="es-AR"/>
              </w:rPr>
            </w:pPr>
            <w:r w:rsidRPr="00EE5342">
              <w:rPr>
                <w:sz w:val="20"/>
                <w:szCs w:val="20"/>
                <w:lang w:val="en-US" w:eastAsia="es-AR"/>
              </w:rPr>
              <w:t>Non-metallic minerals</w:t>
            </w:r>
          </w:p>
        </w:tc>
        <w:tc>
          <w:tcPr>
            <w:tcW w:w="704" w:type="dxa"/>
            <w:noWrap/>
          </w:tcPr>
          <w:p w14:paraId="359ABC3A" w14:textId="77777777" w:rsidR="00C41769" w:rsidRPr="00EE5342" w:rsidRDefault="00C41769" w:rsidP="00557280">
            <w:pPr>
              <w:jc w:val="center"/>
              <w:rPr>
                <w:sz w:val="20"/>
                <w:szCs w:val="20"/>
                <w:lang w:val="en-US" w:eastAsia="es-AR"/>
              </w:rPr>
            </w:pPr>
            <w:r w:rsidRPr="00EE5342">
              <w:rPr>
                <w:sz w:val="20"/>
                <w:szCs w:val="20"/>
                <w:lang w:val="en-US" w:eastAsia="es-AR"/>
              </w:rPr>
              <w:t>57</w:t>
            </w:r>
          </w:p>
        </w:tc>
        <w:tc>
          <w:tcPr>
            <w:tcW w:w="1105" w:type="dxa"/>
            <w:noWrap/>
            <w:hideMark/>
          </w:tcPr>
          <w:p w14:paraId="0C33C1B5" w14:textId="77777777" w:rsidR="00C41769" w:rsidRPr="00EE5342" w:rsidRDefault="00C41769" w:rsidP="00557280">
            <w:pPr>
              <w:jc w:val="center"/>
              <w:rPr>
                <w:sz w:val="20"/>
                <w:szCs w:val="20"/>
                <w:lang w:val="en-US" w:eastAsia="es-AR"/>
              </w:rPr>
            </w:pPr>
            <w:r w:rsidRPr="00EE5342">
              <w:rPr>
                <w:sz w:val="20"/>
                <w:szCs w:val="20"/>
                <w:lang w:val="en-US" w:eastAsia="es-AR"/>
              </w:rPr>
              <w:t>52</w:t>
            </w:r>
          </w:p>
        </w:tc>
        <w:tc>
          <w:tcPr>
            <w:tcW w:w="1212" w:type="dxa"/>
            <w:noWrap/>
            <w:hideMark/>
          </w:tcPr>
          <w:p w14:paraId="389AFEEB" w14:textId="77777777" w:rsidR="00C41769" w:rsidRPr="00EE5342" w:rsidRDefault="00C41769" w:rsidP="00557280">
            <w:pPr>
              <w:jc w:val="center"/>
              <w:rPr>
                <w:sz w:val="20"/>
                <w:szCs w:val="20"/>
                <w:lang w:val="en-US" w:eastAsia="es-AR"/>
              </w:rPr>
            </w:pPr>
            <w:r w:rsidRPr="00EE5342">
              <w:rPr>
                <w:sz w:val="20"/>
                <w:szCs w:val="20"/>
                <w:lang w:val="en-US" w:eastAsia="es-AR"/>
              </w:rPr>
              <w:t>10.37354</w:t>
            </w:r>
          </w:p>
        </w:tc>
        <w:tc>
          <w:tcPr>
            <w:tcW w:w="1227" w:type="dxa"/>
          </w:tcPr>
          <w:p w14:paraId="2D323FC2" w14:textId="77777777" w:rsidR="00C41769" w:rsidRPr="00EE5342" w:rsidRDefault="00C41769" w:rsidP="00557280">
            <w:pPr>
              <w:jc w:val="center"/>
              <w:rPr>
                <w:sz w:val="20"/>
                <w:szCs w:val="20"/>
              </w:rPr>
            </w:pPr>
            <w:r w:rsidRPr="00EE5342">
              <w:rPr>
                <w:sz w:val="20"/>
                <w:szCs w:val="20"/>
              </w:rPr>
              <w:t>43,353</w:t>
            </w:r>
          </w:p>
        </w:tc>
        <w:tc>
          <w:tcPr>
            <w:tcW w:w="1059" w:type="dxa"/>
            <w:noWrap/>
            <w:hideMark/>
          </w:tcPr>
          <w:p w14:paraId="7BC4CCC4" w14:textId="77777777" w:rsidR="00C41769" w:rsidRPr="00EE5342" w:rsidRDefault="00C41769" w:rsidP="00557280">
            <w:pPr>
              <w:jc w:val="center"/>
              <w:rPr>
                <w:sz w:val="20"/>
                <w:szCs w:val="20"/>
                <w:lang w:val="en-US" w:eastAsia="es-AR"/>
              </w:rPr>
            </w:pPr>
            <w:r w:rsidRPr="00EE5342">
              <w:rPr>
                <w:sz w:val="20"/>
                <w:szCs w:val="20"/>
                <w:lang w:val="en-US" w:eastAsia="es-AR"/>
              </w:rPr>
              <w:t>10.09704</w:t>
            </w:r>
          </w:p>
        </w:tc>
        <w:tc>
          <w:tcPr>
            <w:tcW w:w="1209" w:type="dxa"/>
            <w:vAlign w:val="center"/>
          </w:tcPr>
          <w:p w14:paraId="47F06C7F" w14:textId="77777777" w:rsidR="00C41769" w:rsidRPr="00EE5342" w:rsidRDefault="00C41769" w:rsidP="00557280">
            <w:pPr>
              <w:jc w:val="center"/>
              <w:rPr>
                <w:sz w:val="20"/>
                <w:szCs w:val="20"/>
              </w:rPr>
            </w:pPr>
            <w:r w:rsidRPr="00EE5342">
              <w:rPr>
                <w:sz w:val="20"/>
                <w:szCs w:val="20"/>
              </w:rPr>
              <w:t>28,598</w:t>
            </w:r>
          </w:p>
        </w:tc>
        <w:tc>
          <w:tcPr>
            <w:tcW w:w="1281" w:type="dxa"/>
            <w:noWrap/>
            <w:hideMark/>
          </w:tcPr>
          <w:p w14:paraId="6D7F1030" w14:textId="77777777" w:rsidR="00C41769" w:rsidRPr="00EE5342" w:rsidRDefault="00C41769" w:rsidP="00557280">
            <w:pPr>
              <w:jc w:val="center"/>
              <w:rPr>
                <w:sz w:val="20"/>
                <w:szCs w:val="20"/>
                <w:lang w:val="en-US" w:eastAsia="es-AR"/>
              </w:rPr>
            </w:pPr>
            <w:r w:rsidRPr="00EE5342">
              <w:rPr>
                <w:sz w:val="20"/>
                <w:szCs w:val="20"/>
                <w:lang w:val="en-US" w:eastAsia="es-AR"/>
              </w:rPr>
              <w:t>52%</w:t>
            </w:r>
          </w:p>
        </w:tc>
      </w:tr>
      <w:tr w:rsidR="00C41769" w:rsidRPr="007C3120" w14:paraId="78C9070A" w14:textId="77777777" w:rsidTr="00557280">
        <w:trPr>
          <w:trHeight w:val="188"/>
        </w:trPr>
        <w:tc>
          <w:tcPr>
            <w:tcW w:w="2268" w:type="dxa"/>
            <w:noWrap/>
          </w:tcPr>
          <w:p w14:paraId="24AE8C6F" w14:textId="77777777" w:rsidR="00C41769" w:rsidRPr="00EE5342" w:rsidRDefault="00C41769" w:rsidP="00557280">
            <w:pPr>
              <w:jc w:val="left"/>
              <w:rPr>
                <w:sz w:val="20"/>
                <w:szCs w:val="20"/>
                <w:lang w:val="en-US" w:eastAsia="es-AR"/>
              </w:rPr>
            </w:pPr>
            <w:r w:rsidRPr="00EE5342">
              <w:rPr>
                <w:sz w:val="20"/>
                <w:szCs w:val="20"/>
                <w:lang w:val="en-US" w:eastAsia="es-AR"/>
              </w:rPr>
              <w:t>Metal products</w:t>
            </w:r>
          </w:p>
        </w:tc>
        <w:tc>
          <w:tcPr>
            <w:tcW w:w="704" w:type="dxa"/>
            <w:noWrap/>
          </w:tcPr>
          <w:p w14:paraId="574E3BEA" w14:textId="77777777" w:rsidR="00C41769" w:rsidRPr="00EE5342" w:rsidRDefault="00C41769" w:rsidP="00557280">
            <w:pPr>
              <w:jc w:val="center"/>
              <w:rPr>
                <w:sz w:val="20"/>
                <w:szCs w:val="20"/>
                <w:lang w:val="en-US" w:eastAsia="es-AR"/>
              </w:rPr>
            </w:pPr>
            <w:r w:rsidRPr="00EE5342">
              <w:rPr>
                <w:sz w:val="20"/>
                <w:szCs w:val="20"/>
                <w:lang w:val="en-US" w:eastAsia="es-AR"/>
              </w:rPr>
              <w:t>154</w:t>
            </w:r>
          </w:p>
        </w:tc>
        <w:tc>
          <w:tcPr>
            <w:tcW w:w="1105" w:type="dxa"/>
            <w:noWrap/>
            <w:hideMark/>
          </w:tcPr>
          <w:p w14:paraId="6F5D65AF" w14:textId="77777777" w:rsidR="00C41769" w:rsidRPr="00EE5342" w:rsidRDefault="00C41769" w:rsidP="00557280">
            <w:pPr>
              <w:jc w:val="center"/>
              <w:rPr>
                <w:sz w:val="20"/>
                <w:szCs w:val="20"/>
                <w:lang w:val="en-US" w:eastAsia="es-AR"/>
              </w:rPr>
            </w:pPr>
            <w:r w:rsidRPr="00EE5342">
              <w:rPr>
                <w:sz w:val="20"/>
                <w:szCs w:val="20"/>
                <w:lang w:val="en-US" w:eastAsia="es-AR"/>
              </w:rPr>
              <w:t>44</w:t>
            </w:r>
          </w:p>
        </w:tc>
        <w:tc>
          <w:tcPr>
            <w:tcW w:w="1212" w:type="dxa"/>
            <w:noWrap/>
            <w:hideMark/>
          </w:tcPr>
          <w:p w14:paraId="6D12D711" w14:textId="77777777" w:rsidR="00C41769" w:rsidRPr="00EE5342" w:rsidRDefault="00C41769" w:rsidP="00557280">
            <w:pPr>
              <w:jc w:val="center"/>
              <w:rPr>
                <w:sz w:val="20"/>
                <w:szCs w:val="20"/>
                <w:lang w:val="en-US" w:eastAsia="es-AR"/>
              </w:rPr>
            </w:pPr>
            <w:r w:rsidRPr="00EE5342">
              <w:rPr>
                <w:sz w:val="20"/>
                <w:szCs w:val="20"/>
                <w:lang w:val="en-US" w:eastAsia="es-AR"/>
              </w:rPr>
              <w:t>10.61975</w:t>
            </w:r>
          </w:p>
        </w:tc>
        <w:tc>
          <w:tcPr>
            <w:tcW w:w="1227" w:type="dxa"/>
          </w:tcPr>
          <w:p w14:paraId="06D1A7FB" w14:textId="77777777" w:rsidR="00C41769" w:rsidRPr="00EE5342" w:rsidRDefault="00C41769" w:rsidP="00557280">
            <w:pPr>
              <w:jc w:val="center"/>
              <w:rPr>
                <w:sz w:val="20"/>
                <w:szCs w:val="20"/>
              </w:rPr>
            </w:pPr>
            <w:r w:rsidRPr="00EE5342">
              <w:rPr>
                <w:sz w:val="20"/>
                <w:szCs w:val="20"/>
              </w:rPr>
              <w:t>62,253</w:t>
            </w:r>
          </w:p>
        </w:tc>
        <w:tc>
          <w:tcPr>
            <w:tcW w:w="1059" w:type="dxa"/>
            <w:noWrap/>
            <w:hideMark/>
          </w:tcPr>
          <w:p w14:paraId="342604F4" w14:textId="77777777" w:rsidR="00C41769" w:rsidRPr="00EE5342" w:rsidRDefault="00C41769" w:rsidP="00557280">
            <w:pPr>
              <w:jc w:val="center"/>
              <w:rPr>
                <w:sz w:val="20"/>
                <w:szCs w:val="20"/>
                <w:lang w:val="en-US" w:eastAsia="es-AR"/>
              </w:rPr>
            </w:pPr>
            <w:r w:rsidRPr="00EE5342">
              <w:rPr>
                <w:sz w:val="20"/>
                <w:szCs w:val="20"/>
                <w:lang w:val="en-US" w:eastAsia="es-AR"/>
              </w:rPr>
              <w:t>10.18194</w:t>
            </w:r>
          </w:p>
        </w:tc>
        <w:tc>
          <w:tcPr>
            <w:tcW w:w="1209" w:type="dxa"/>
            <w:vAlign w:val="center"/>
          </w:tcPr>
          <w:p w14:paraId="3198C408" w14:textId="77777777" w:rsidR="00C41769" w:rsidRPr="00EE5342" w:rsidRDefault="00C41769" w:rsidP="00557280">
            <w:pPr>
              <w:jc w:val="center"/>
              <w:rPr>
                <w:sz w:val="20"/>
                <w:szCs w:val="20"/>
              </w:rPr>
            </w:pPr>
            <w:r w:rsidRPr="00EE5342">
              <w:rPr>
                <w:sz w:val="20"/>
                <w:szCs w:val="20"/>
              </w:rPr>
              <w:t>30,689</w:t>
            </w:r>
          </w:p>
        </w:tc>
        <w:tc>
          <w:tcPr>
            <w:tcW w:w="1281" w:type="dxa"/>
            <w:noWrap/>
            <w:hideMark/>
          </w:tcPr>
          <w:p w14:paraId="4CA53402" w14:textId="77777777" w:rsidR="00C41769" w:rsidRPr="00EE5342" w:rsidRDefault="00C41769" w:rsidP="00557280">
            <w:pPr>
              <w:jc w:val="center"/>
              <w:rPr>
                <w:sz w:val="20"/>
                <w:szCs w:val="20"/>
                <w:lang w:val="en-US" w:eastAsia="es-AR"/>
              </w:rPr>
            </w:pPr>
            <w:r w:rsidRPr="00EE5342">
              <w:rPr>
                <w:sz w:val="20"/>
                <w:szCs w:val="20"/>
                <w:lang w:val="en-US" w:eastAsia="es-AR"/>
              </w:rPr>
              <w:t>62%</w:t>
            </w:r>
          </w:p>
        </w:tc>
      </w:tr>
      <w:tr w:rsidR="00C41769" w:rsidRPr="007C3120" w14:paraId="663EB80E" w14:textId="77777777" w:rsidTr="00557280">
        <w:trPr>
          <w:trHeight w:val="300"/>
        </w:trPr>
        <w:tc>
          <w:tcPr>
            <w:tcW w:w="2268" w:type="dxa"/>
            <w:noWrap/>
          </w:tcPr>
          <w:p w14:paraId="5320146D" w14:textId="77777777" w:rsidR="00C41769" w:rsidRPr="00EE5342" w:rsidRDefault="00C41769" w:rsidP="00557280">
            <w:pPr>
              <w:jc w:val="left"/>
              <w:rPr>
                <w:sz w:val="20"/>
                <w:szCs w:val="20"/>
                <w:lang w:val="en-US" w:eastAsia="es-AR"/>
              </w:rPr>
            </w:pPr>
            <w:r w:rsidRPr="00EE5342">
              <w:rPr>
                <w:sz w:val="20"/>
                <w:szCs w:val="20"/>
                <w:lang w:val="en-US" w:eastAsia="es-AR"/>
              </w:rPr>
              <w:t>Machinery and equipment</w:t>
            </w:r>
          </w:p>
        </w:tc>
        <w:tc>
          <w:tcPr>
            <w:tcW w:w="704" w:type="dxa"/>
            <w:noWrap/>
          </w:tcPr>
          <w:p w14:paraId="10BC74F0" w14:textId="77777777" w:rsidR="00C41769" w:rsidRPr="00EE5342" w:rsidRDefault="00C41769" w:rsidP="00557280">
            <w:pPr>
              <w:jc w:val="center"/>
              <w:rPr>
                <w:sz w:val="20"/>
                <w:szCs w:val="20"/>
                <w:lang w:val="en-US" w:eastAsia="es-AR"/>
              </w:rPr>
            </w:pPr>
            <w:r w:rsidRPr="00EE5342">
              <w:rPr>
                <w:sz w:val="20"/>
                <w:szCs w:val="20"/>
                <w:lang w:val="en-US" w:eastAsia="es-AR"/>
              </w:rPr>
              <w:t>133</w:t>
            </w:r>
          </w:p>
        </w:tc>
        <w:tc>
          <w:tcPr>
            <w:tcW w:w="1105" w:type="dxa"/>
            <w:noWrap/>
            <w:hideMark/>
          </w:tcPr>
          <w:p w14:paraId="28DEDEC6" w14:textId="77777777" w:rsidR="00C41769" w:rsidRPr="00EE5342" w:rsidRDefault="00C41769" w:rsidP="00557280">
            <w:pPr>
              <w:jc w:val="center"/>
              <w:rPr>
                <w:sz w:val="20"/>
                <w:szCs w:val="20"/>
                <w:lang w:val="en-US" w:eastAsia="es-AR"/>
              </w:rPr>
            </w:pPr>
            <w:r w:rsidRPr="00EE5342">
              <w:rPr>
                <w:sz w:val="20"/>
                <w:szCs w:val="20"/>
                <w:lang w:val="en-US" w:eastAsia="es-AR"/>
              </w:rPr>
              <w:t>57</w:t>
            </w:r>
          </w:p>
        </w:tc>
        <w:tc>
          <w:tcPr>
            <w:tcW w:w="1212" w:type="dxa"/>
            <w:noWrap/>
            <w:hideMark/>
          </w:tcPr>
          <w:p w14:paraId="091525A1" w14:textId="77777777" w:rsidR="00C41769" w:rsidRPr="00EE5342" w:rsidRDefault="00C41769" w:rsidP="00557280">
            <w:pPr>
              <w:jc w:val="center"/>
              <w:rPr>
                <w:sz w:val="20"/>
                <w:szCs w:val="20"/>
                <w:lang w:val="en-US" w:eastAsia="es-AR"/>
              </w:rPr>
            </w:pPr>
            <w:r w:rsidRPr="00EE5342">
              <w:rPr>
                <w:sz w:val="20"/>
                <w:szCs w:val="20"/>
                <w:lang w:val="en-US" w:eastAsia="es-AR"/>
              </w:rPr>
              <w:t>10.81162</w:t>
            </w:r>
          </w:p>
        </w:tc>
        <w:tc>
          <w:tcPr>
            <w:tcW w:w="1227" w:type="dxa"/>
          </w:tcPr>
          <w:p w14:paraId="0B5140D9" w14:textId="77777777" w:rsidR="00C41769" w:rsidRPr="00EE5342" w:rsidRDefault="00C41769" w:rsidP="00557280">
            <w:pPr>
              <w:jc w:val="center"/>
              <w:rPr>
                <w:sz w:val="20"/>
                <w:szCs w:val="20"/>
              </w:rPr>
            </w:pPr>
            <w:r w:rsidRPr="00EE5342">
              <w:rPr>
                <w:sz w:val="20"/>
                <w:szCs w:val="20"/>
              </w:rPr>
              <w:t>67,750</w:t>
            </w:r>
          </w:p>
        </w:tc>
        <w:tc>
          <w:tcPr>
            <w:tcW w:w="1059" w:type="dxa"/>
            <w:noWrap/>
            <w:hideMark/>
          </w:tcPr>
          <w:p w14:paraId="47317084" w14:textId="77777777" w:rsidR="00C41769" w:rsidRPr="00EE5342" w:rsidRDefault="00C41769" w:rsidP="00557280">
            <w:pPr>
              <w:jc w:val="center"/>
              <w:rPr>
                <w:sz w:val="20"/>
                <w:szCs w:val="20"/>
                <w:lang w:val="en-US" w:eastAsia="es-AR"/>
              </w:rPr>
            </w:pPr>
            <w:r w:rsidRPr="00EE5342">
              <w:rPr>
                <w:sz w:val="20"/>
                <w:szCs w:val="20"/>
                <w:lang w:val="en-US" w:eastAsia="es-AR"/>
              </w:rPr>
              <w:t>10.24696</w:t>
            </w:r>
          </w:p>
        </w:tc>
        <w:tc>
          <w:tcPr>
            <w:tcW w:w="1209" w:type="dxa"/>
            <w:vAlign w:val="center"/>
          </w:tcPr>
          <w:p w14:paraId="4EB64DD2" w14:textId="77777777" w:rsidR="00C41769" w:rsidRPr="00EE5342" w:rsidRDefault="00C41769" w:rsidP="00557280">
            <w:pPr>
              <w:jc w:val="center"/>
              <w:rPr>
                <w:sz w:val="20"/>
                <w:szCs w:val="20"/>
              </w:rPr>
            </w:pPr>
            <w:r w:rsidRPr="00EE5342">
              <w:rPr>
                <w:sz w:val="20"/>
                <w:szCs w:val="20"/>
              </w:rPr>
              <w:t>35,165</w:t>
            </w:r>
          </w:p>
        </w:tc>
        <w:tc>
          <w:tcPr>
            <w:tcW w:w="1281" w:type="dxa"/>
            <w:noWrap/>
            <w:hideMark/>
          </w:tcPr>
          <w:p w14:paraId="42D45146" w14:textId="77777777" w:rsidR="00C41769" w:rsidRPr="00EE5342" w:rsidRDefault="00C41769" w:rsidP="00557280">
            <w:pPr>
              <w:jc w:val="center"/>
              <w:rPr>
                <w:sz w:val="20"/>
                <w:szCs w:val="20"/>
                <w:lang w:val="en-US" w:eastAsia="es-AR"/>
              </w:rPr>
            </w:pPr>
            <w:r w:rsidRPr="00EE5342">
              <w:rPr>
                <w:sz w:val="20"/>
                <w:szCs w:val="20"/>
                <w:lang w:val="en-US" w:eastAsia="es-AR"/>
              </w:rPr>
              <w:t>76%</w:t>
            </w:r>
          </w:p>
        </w:tc>
      </w:tr>
      <w:tr w:rsidR="00C41769" w:rsidRPr="007C3120" w14:paraId="669DC4A8" w14:textId="77777777" w:rsidTr="00557280">
        <w:trPr>
          <w:trHeight w:val="300"/>
        </w:trPr>
        <w:tc>
          <w:tcPr>
            <w:tcW w:w="2268" w:type="dxa"/>
            <w:noWrap/>
          </w:tcPr>
          <w:p w14:paraId="0F27D1D2" w14:textId="77777777" w:rsidR="00C41769" w:rsidRPr="00EE5342" w:rsidRDefault="00C41769" w:rsidP="00557280">
            <w:pPr>
              <w:jc w:val="left"/>
              <w:rPr>
                <w:sz w:val="20"/>
                <w:szCs w:val="20"/>
                <w:lang w:val="en-US" w:eastAsia="es-AR"/>
              </w:rPr>
            </w:pPr>
            <w:r w:rsidRPr="00EE5342">
              <w:rPr>
                <w:sz w:val="20"/>
                <w:szCs w:val="20"/>
                <w:lang w:val="en-US" w:eastAsia="es-AR"/>
              </w:rPr>
              <w:t>Electrical machinery</w:t>
            </w:r>
          </w:p>
        </w:tc>
        <w:tc>
          <w:tcPr>
            <w:tcW w:w="704" w:type="dxa"/>
            <w:noWrap/>
          </w:tcPr>
          <w:p w14:paraId="05A92BE0" w14:textId="77777777" w:rsidR="00C41769" w:rsidRPr="00EE5342" w:rsidRDefault="00C41769" w:rsidP="00557280">
            <w:pPr>
              <w:jc w:val="center"/>
              <w:rPr>
                <w:sz w:val="20"/>
                <w:szCs w:val="20"/>
                <w:lang w:val="en-US" w:eastAsia="es-AR"/>
              </w:rPr>
            </w:pPr>
            <w:r w:rsidRPr="00EE5342">
              <w:rPr>
                <w:sz w:val="20"/>
                <w:szCs w:val="20"/>
                <w:lang w:val="en-US" w:eastAsia="es-AR"/>
              </w:rPr>
              <w:t>43</w:t>
            </w:r>
          </w:p>
        </w:tc>
        <w:tc>
          <w:tcPr>
            <w:tcW w:w="1105" w:type="dxa"/>
            <w:noWrap/>
            <w:hideMark/>
          </w:tcPr>
          <w:p w14:paraId="4604E7E6" w14:textId="77777777" w:rsidR="00C41769" w:rsidRPr="00EE5342" w:rsidRDefault="00C41769" w:rsidP="00557280">
            <w:pPr>
              <w:jc w:val="center"/>
              <w:rPr>
                <w:sz w:val="20"/>
                <w:szCs w:val="20"/>
                <w:lang w:val="en-US" w:eastAsia="es-AR"/>
              </w:rPr>
            </w:pPr>
            <w:r w:rsidRPr="00EE5342">
              <w:rPr>
                <w:sz w:val="20"/>
                <w:szCs w:val="20"/>
                <w:lang w:val="en-US" w:eastAsia="es-AR"/>
              </w:rPr>
              <w:t>68</w:t>
            </w:r>
          </w:p>
        </w:tc>
        <w:tc>
          <w:tcPr>
            <w:tcW w:w="1212" w:type="dxa"/>
            <w:noWrap/>
            <w:hideMark/>
          </w:tcPr>
          <w:p w14:paraId="45412CE2" w14:textId="77777777" w:rsidR="00C41769" w:rsidRPr="00EE5342" w:rsidRDefault="00C41769" w:rsidP="00557280">
            <w:pPr>
              <w:jc w:val="center"/>
              <w:rPr>
                <w:sz w:val="20"/>
                <w:szCs w:val="20"/>
                <w:lang w:val="en-US" w:eastAsia="es-AR"/>
              </w:rPr>
            </w:pPr>
            <w:r w:rsidRPr="00EE5342">
              <w:rPr>
                <w:sz w:val="20"/>
                <w:szCs w:val="20"/>
                <w:lang w:val="en-US" w:eastAsia="es-AR"/>
              </w:rPr>
              <w:t>10.7545</w:t>
            </w:r>
          </w:p>
        </w:tc>
        <w:tc>
          <w:tcPr>
            <w:tcW w:w="1227" w:type="dxa"/>
          </w:tcPr>
          <w:p w14:paraId="7063BB22" w14:textId="77777777" w:rsidR="00C41769" w:rsidRPr="00EE5342" w:rsidRDefault="00C41769" w:rsidP="00557280">
            <w:pPr>
              <w:jc w:val="center"/>
              <w:rPr>
                <w:sz w:val="20"/>
                <w:szCs w:val="20"/>
              </w:rPr>
            </w:pPr>
            <w:r w:rsidRPr="00EE5342">
              <w:rPr>
                <w:sz w:val="20"/>
                <w:szCs w:val="20"/>
              </w:rPr>
              <w:t>64,562</w:t>
            </w:r>
          </w:p>
        </w:tc>
        <w:tc>
          <w:tcPr>
            <w:tcW w:w="1059" w:type="dxa"/>
            <w:noWrap/>
            <w:hideMark/>
          </w:tcPr>
          <w:p w14:paraId="3D0EE9CF" w14:textId="77777777" w:rsidR="00C41769" w:rsidRPr="00EE5342" w:rsidRDefault="00C41769" w:rsidP="00557280">
            <w:pPr>
              <w:jc w:val="center"/>
              <w:rPr>
                <w:sz w:val="20"/>
                <w:szCs w:val="20"/>
                <w:lang w:val="en-US" w:eastAsia="es-AR"/>
              </w:rPr>
            </w:pPr>
            <w:r w:rsidRPr="00EE5342">
              <w:rPr>
                <w:sz w:val="20"/>
                <w:szCs w:val="20"/>
                <w:lang w:val="en-US" w:eastAsia="es-AR"/>
              </w:rPr>
              <w:t>10.30755</w:t>
            </w:r>
          </w:p>
        </w:tc>
        <w:tc>
          <w:tcPr>
            <w:tcW w:w="1209" w:type="dxa"/>
            <w:vAlign w:val="center"/>
          </w:tcPr>
          <w:p w14:paraId="002C77C1" w14:textId="77777777" w:rsidR="00C41769" w:rsidRPr="00EE5342" w:rsidRDefault="00C41769" w:rsidP="00557280">
            <w:pPr>
              <w:jc w:val="center"/>
              <w:rPr>
                <w:sz w:val="20"/>
                <w:szCs w:val="20"/>
              </w:rPr>
            </w:pPr>
            <w:r w:rsidRPr="00EE5342">
              <w:rPr>
                <w:sz w:val="20"/>
                <w:szCs w:val="20"/>
              </w:rPr>
              <w:t>32,774</w:t>
            </w:r>
          </w:p>
        </w:tc>
        <w:tc>
          <w:tcPr>
            <w:tcW w:w="1281" w:type="dxa"/>
            <w:noWrap/>
            <w:hideMark/>
          </w:tcPr>
          <w:p w14:paraId="44FADA84" w14:textId="77777777" w:rsidR="00C41769" w:rsidRPr="00EE5342" w:rsidRDefault="00C41769" w:rsidP="00557280">
            <w:pPr>
              <w:jc w:val="center"/>
              <w:rPr>
                <w:sz w:val="20"/>
                <w:szCs w:val="20"/>
                <w:lang w:val="en-US" w:eastAsia="es-AR"/>
              </w:rPr>
            </w:pPr>
            <w:r w:rsidRPr="00EE5342">
              <w:rPr>
                <w:sz w:val="20"/>
                <w:szCs w:val="20"/>
                <w:lang w:val="en-US" w:eastAsia="es-AR"/>
              </w:rPr>
              <w:t>67%</w:t>
            </w:r>
          </w:p>
        </w:tc>
      </w:tr>
      <w:tr w:rsidR="00C41769" w:rsidRPr="007C3120" w14:paraId="1E254806" w14:textId="77777777" w:rsidTr="00557280">
        <w:trPr>
          <w:trHeight w:val="268"/>
        </w:trPr>
        <w:tc>
          <w:tcPr>
            <w:tcW w:w="2268" w:type="dxa"/>
            <w:noWrap/>
          </w:tcPr>
          <w:p w14:paraId="4D8E4CED" w14:textId="77777777" w:rsidR="00C41769" w:rsidRPr="00EE5342" w:rsidRDefault="00C41769" w:rsidP="00557280">
            <w:pPr>
              <w:jc w:val="left"/>
              <w:rPr>
                <w:sz w:val="20"/>
                <w:szCs w:val="20"/>
                <w:lang w:val="en-US" w:eastAsia="es-AR"/>
              </w:rPr>
            </w:pPr>
            <w:r w:rsidRPr="00EE5342">
              <w:rPr>
                <w:sz w:val="20"/>
                <w:szCs w:val="20"/>
                <w:lang w:val="en-US" w:eastAsia="es-AR"/>
              </w:rPr>
              <w:t>Automotive</w:t>
            </w:r>
          </w:p>
        </w:tc>
        <w:tc>
          <w:tcPr>
            <w:tcW w:w="704" w:type="dxa"/>
            <w:noWrap/>
          </w:tcPr>
          <w:p w14:paraId="672A0F84" w14:textId="77777777" w:rsidR="00C41769" w:rsidRPr="00EE5342" w:rsidRDefault="00C41769" w:rsidP="00557280">
            <w:pPr>
              <w:jc w:val="center"/>
              <w:rPr>
                <w:sz w:val="20"/>
                <w:szCs w:val="20"/>
                <w:lang w:val="en-US" w:eastAsia="es-AR"/>
              </w:rPr>
            </w:pPr>
            <w:r w:rsidRPr="00EE5342">
              <w:rPr>
                <w:sz w:val="20"/>
                <w:szCs w:val="20"/>
                <w:lang w:val="en-US" w:eastAsia="es-AR"/>
              </w:rPr>
              <w:t>104</w:t>
            </w:r>
          </w:p>
        </w:tc>
        <w:tc>
          <w:tcPr>
            <w:tcW w:w="1105" w:type="dxa"/>
            <w:noWrap/>
            <w:hideMark/>
          </w:tcPr>
          <w:p w14:paraId="53A2189D" w14:textId="77777777" w:rsidR="00C41769" w:rsidRPr="00EE5342" w:rsidRDefault="00C41769" w:rsidP="00557280">
            <w:pPr>
              <w:jc w:val="center"/>
              <w:rPr>
                <w:sz w:val="20"/>
                <w:szCs w:val="20"/>
                <w:lang w:val="en-US" w:eastAsia="es-AR"/>
              </w:rPr>
            </w:pPr>
            <w:r w:rsidRPr="00EE5342">
              <w:rPr>
                <w:sz w:val="20"/>
                <w:szCs w:val="20"/>
                <w:lang w:val="en-US" w:eastAsia="es-AR"/>
              </w:rPr>
              <w:t>60</w:t>
            </w:r>
          </w:p>
        </w:tc>
        <w:tc>
          <w:tcPr>
            <w:tcW w:w="1212" w:type="dxa"/>
            <w:noWrap/>
            <w:hideMark/>
          </w:tcPr>
          <w:p w14:paraId="0C971AD3" w14:textId="77777777" w:rsidR="00C41769" w:rsidRPr="00EE5342" w:rsidRDefault="00C41769" w:rsidP="00557280">
            <w:pPr>
              <w:jc w:val="center"/>
              <w:rPr>
                <w:sz w:val="20"/>
                <w:szCs w:val="20"/>
                <w:lang w:val="en-US" w:eastAsia="es-AR"/>
              </w:rPr>
            </w:pPr>
            <w:r w:rsidRPr="00EE5342">
              <w:rPr>
                <w:sz w:val="20"/>
                <w:szCs w:val="20"/>
                <w:lang w:val="en-US" w:eastAsia="es-AR"/>
              </w:rPr>
              <w:t>10.63569</w:t>
            </w:r>
          </w:p>
        </w:tc>
        <w:tc>
          <w:tcPr>
            <w:tcW w:w="1227" w:type="dxa"/>
          </w:tcPr>
          <w:p w14:paraId="1BECD7B0" w14:textId="77777777" w:rsidR="00C41769" w:rsidRPr="00EE5342" w:rsidRDefault="00C41769" w:rsidP="00557280">
            <w:pPr>
              <w:jc w:val="center"/>
              <w:rPr>
                <w:sz w:val="20"/>
                <w:szCs w:val="20"/>
              </w:rPr>
            </w:pPr>
            <w:r w:rsidRPr="00EE5342">
              <w:rPr>
                <w:sz w:val="20"/>
                <w:szCs w:val="20"/>
              </w:rPr>
              <w:t>51,982</w:t>
            </w:r>
          </w:p>
        </w:tc>
        <w:tc>
          <w:tcPr>
            <w:tcW w:w="1059" w:type="dxa"/>
            <w:noWrap/>
            <w:hideMark/>
          </w:tcPr>
          <w:p w14:paraId="681B35E7" w14:textId="77777777" w:rsidR="00C41769" w:rsidRPr="00EE5342" w:rsidRDefault="00C41769" w:rsidP="00557280">
            <w:pPr>
              <w:jc w:val="center"/>
              <w:rPr>
                <w:sz w:val="20"/>
                <w:szCs w:val="20"/>
                <w:lang w:val="en-US" w:eastAsia="es-AR"/>
              </w:rPr>
            </w:pPr>
            <w:r w:rsidRPr="00EE5342">
              <w:rPr>
                <w:sz w:val="20"/>
                <w:szCs w:val="20"/>
                <w:lang w:val="en-US" w:eastAsia="es-AR"/>
              </w:rPr>
              <w:t>10.14228</w:t>
            </w:r>
          </w:p>
        </w:tc>
        <w:tc>
          <w:tcPr>
            <w:tcW w:w="1209" w:type="dxa"/>
            <w:vAlign w:val="center"/>
          </w:tcPr>
          <w:p w14:paraId="76EFDD3E" w14:textId="77777777" w:rsidR="00C41769" w:rsidRPr="00EE5342" w:rsidRDefault="00C41769" w:rsidP="00557280">
            <w:pPr>
              <w:jc w:val="center"/>
              <w:rPr>
                <w:sz w:val="20"/>
                <w:szCs w:val="20"/>
              </w:rPr>
            </w:pPr>
            <w:r w:rsidRPr="00EE5342">
              <w:rPr>
                <w:sz w:val="20"/>
                <w:szCs w:val="20"/>
              </w:rPr>
              <w:t>31,259</w:t>
            </w:r>
          </w:p>
        </w:tc>
        <w:tc>
          <w:tcPr>
            <w:tcW w:w="1281" w:type="dxa"/>
            <w:noWrap/>
            <w:hideMark/>
          </w:tcPr>
          <w:p w14:paraId="6B079D2A" w14:textId="77777777" w:rsidR="00C41769" w:rsidRPr="00EE5342" w:rsidRDefault="00C41769" w:rsidP="00557280">
            <w:pPr>
              <w:jc w:val="center"/>
              <w:rPr>
                <w:sz w:val="20"/>
                <w:szCs w:val="20"/>
                <w:lang w:val="en-US" w:eastAsia="es-AR"/>
              </w:rPr>
            </w:pPr>
            <w:r w:rsidRPr="00EE5342">
              <w:rPr>
                <w:sz w:val="20"/>
                <w:szCs w:val="20"/>
                <w:lang w:val="en-US" w:eastAsia="es-AR"/>
              </w:rPr>
              <w:t>69%</w:t>
            </w:r>
          </w:p>
        </w:tc>
      </w:tr>
      <w:tr w:rsidR="00C41769" w:rsidRPr="007C3120" w14:paraId="27E6F12D" w14:textId="77777777" w:rsidTr="00557280">
        <w:trPr>
          <w:trHeight w:val="300"/>
        </w:trPr>
        <w:tc>
          <w:tcPr>
            <w:tcW w:w="2268" w:type="dxa"/>
            <w:noWrap/>
          </w:tcPr>
          <w:p w14:paraId="1748DA16" w14:textId="77777777" w:rsidR="00C41769" w:rsidRPr="00EE5342" w:rsidRDefault="00C41769" w:rsidP="00557280">
            <w:pPr>
              <w:jc w:val="left"/>
              <w:rPr>
                <w:sz w:val="20"/>
                <w:szCs w:val="20"/>
                <w:lang w:val="en-US" w:eastAsia="es-AR"/>
              </w:rPr>
            </w:pPr>
            <w:r w:rsidRPr="00EE5342">
              <w:rPr>
                <w:sz w:val="20"/>
                <w:szCs w:val="20"/>
                <w:lang w:val="en-US" w:eastAsia="es-AR"/>
              </w:rPr>
              <w:t>Mail and communication</w:t>
            </w:r>
          </w:p>
        </w:tc>
        <w:tc>
          <w:tcPr>
            <w:tcW w:w="704" w:type="dxa"/>
            <w:noWrap/>
          </w:tcPr>
          <w:p w14:paraId="60E3318B" w14:textId="77777777" w:rsidR="00C41769" w:rsidRPr="00EE5342" w:rsidRDefault="00C41769" w:rsidP="00557280">
            <w:pPr>
              <w:jc w:val="center"/>
              <w:rPr>
                <w:sz w:val="20"/>
                <w:szCs w:val="20"/>
                <w:lang w:val="en-US" w:eastAsia="es-AR"/>
              </w:rPr>
            </w:pPr>
            <w:r w:rsidRPr="00EE5342">
              <w:rPr>
                <w:sz w:val="20"/>
                <w:szCs w:val="20"/>
                <w:lang w:val="en-US" w:eastAsia="es-AR"/>
              </w:rPr>
              <w:t>36</w:t>
            </w:r>
          </w:p>
        </w:tc>
        <w:tc>
          <w:tcPr>
            <w:tcW w:w="1105" w:type="dxa"/>
            <w:noWrap/>
            <w:hideMark/>
          </w:tcPr>
          <w:p w14:paraId="06F07A24" w14:textId="77777777" w:rsidR="00C41769" w:rsidRPr="00EE5342" w:rsidRDefault="00C41769" w:rsidP="00557280">
            <w:pPr>
              <w:jc w:val="center"/>
              <w:rPr>
                <w:sz w:val="20"/>
                <w:szCs w:val="20"/>
                <w:lang w:val="en-US" w:eastAsia="es-AR"/>
              </w:rPr>
            </w:pPr>
            <w:r w:rsidRPr="00EE5342">
              <w:rPr>
                <w:sz w:val="20"/>
                <w:szCs w:val="20"/>
                <w:lang w:val="en-US" w:eastAsia="es-AR"/>
              </w:rPr>
              <w:t>42</w:t>
            </w:r>
          </w:p>
        </w:tc>
        <w:tc>
          <w:tcPr>
            <w:tcW w:w="1212" w:type="dxa"/>
            <w:noWrap/>
            <w:hideMark/>
          </w:tcPr>
          <w:p w14:paraId="528A65FC" w14:textId="77777777" w:rsidR="00C41769" w:rsidRPr="00EE5342" w:rsidRDefault="00C41769" w:rsidP="00557280">
            <w:pPr>
              <w:jc w:val="center"/>
              <w:rPr>
                <w:sz w:val="20"/>
                <w:szCs w:val="20"/>
                <w:lang w:val="en-US" w:eastAsia="es-AR"/>
              </w:rPr>
            </w:pPr>
            <w:r w:rsidRPr="00EE5342">
              <w:rPr>
                <w:sz w:val="20"/>
                <w:szCs w:val="20"/>
                <w:lang w:val="en-US" w:eastAsia="es-AR"/>
              </w:rPr>
              <w:t>10.0191</w:t>
            </w:r>
          </w:p>
        </w:tc>
        <w:tc>
          <w:tcPr>
            <w:tcW w:w="1227" w:type="dxa"/>
          </w:tcPr>
          <w:p w14:paraId="22774326" w14:textId="77777777" w:rsidR="00C41769" w:rsidRPr="00EE5342" w:rsidRDefault="00C41769" w:rsidP="00557280">
            <w:pPr>
              <w:jc w:val="center"/>
              <w:rPr>
                <w:sz w:val="20"/>
                <w:szCs w:val="20"/>
              </w:rPr>
            </w:pPr>
            <w:r w:rsidRPr="00EE5342">
              <w:rPr>
                <w:sz w:val="20"/>
                <w:szCs w:val="20"/>
              </w:rPr>
              <w:t>31,829</w:t>
            </w:r>
          </w:p>
        </w:tc>
        <w:tc>
          <w:tcPr>
            <w:tcW w:w="1059" w:type="dxa"/>
            <w:noWrap/>
            <w:hideMark/>
          </w:tcPr>
          <w:p w14:paraId="5457D109" w14:textId="77777777" w:rsidR="00C41769" w:rsidRPr="00EE5342" w:rsidRDefault="00C41769" w:rsidP="00557280">
            <w:pPr>
              <w:jc w:val="center"/>
              <w:rPr>
                <w:sz w:val="20"/>
                <w:szCs w:val="20"/>
                <w:lang w:val="en-US" w:eastAsia="es-AR"/>
              </w:rPr>
            </w:pPr>
            <w:r w:rsidRPr="00EE5342">
              <w:rPr>
                <w:sz w:val="20"/>
                <w:szCs w:val="20"/>
                <w:lang w:val="en-US" w:eastAsia="es-AR"/>
              </w:rPr>
              <w:t>10.00276</w:t>
            </w:r>
          </w:p>
        </w:tc>
        <w:tc>
          <w:tcPr>
            <w:tcW w:w="1209" w:type="dxa"/>
            <w:vAlign w:val="center"/>
          </w:tcPr>
          <w:p w14:paraId="47FB2401" w14:textId="77777777" w:rsidR="00C41769" w:rsidRPr="00EE5342" w:rsidRDefault="00C41769" w:rsidP="00557280">
            <w:pPr>
              <w:jc w:val="center"/>
              <w:rPr>
                <w:sz w:val="20"/>
                <w:szCs w:val="20"/>
              </w:rPr>
            </w:pPr>
            <w:r w:rsidRPr="00EE5342">
              <w:rPr>
                <w:sz w:val="20"/>
                <w:szCs w:val="20"/>
              </w:rPr>
              <w:t>32,814</w:t>
            </w:r>
          </w:p>
        </w:tc>
        <w:tc>
          <w:tcPr>
            <w:tcW w:w="1281" w:type="dxa"/>
            <w:noWrap/>
            <w:hideMark/>
          </w:tcPr>
          <w:p w14:paraId="08A11D1F" w14:textId="77777777" w:rsidR="00C41769" w:rsidRPr="00EE5342" w:rsidRDefault="00C41769" w:rsidP="00557280">
            <w:pPr>
              <w:jc w:val="center"/>
              <w:rPr>
                <w:sz w:val="20"/>
                <w:szCs w:val="20"/>
                <w:lang w:val="en-US" w:eastAsia="es-AR"/>
              </w:rPr>
            </w:pPr>
            <w:r w:rsidRPr="00EE5342">
              <w:rPr>
                <w:sz w:val="20"/>
                <w:szCs w:val="20"/>
                <w:lang w:val="en-US" w:eastAsia="es-AR"/>
              </w:rPr>
              <w:t>39%</w:t>
            </w:r>
          </w:p>
        </w:tc>
      </w:tr>
      <w:tr w:rsidR="00C41769" w:rsidRPr="007C3120" w14:paraId="416CD5C9" w14:textId="77777777" w:rsidTr="00557280">
        <w:trPr>
          <w:trHeight w:val="306"/>
        </w:trPr>
        <w:tc>
          <w:tcPr>
            <w:tcW w:w="2268" w:type="dxa"/>
            <w:noWrap/>
          </w:tcPr>
          <w:p w14:paraId="61BF06B0" w14:textId="77777777" w:rsidR="00C41769" w:rsidRPr="00EE5342" w:rsidRDefault="00C41769" w:rsidP="00557280">
            <w:pPr>
              <w:jc w:val="left"/>
              <w:rPr>
                <w:sz w:val="20"/>
                <w:szCs w:val="20"/>
                <w:lang w:val="en-US" w:eastAsia="es-AR"/>
              </w:rPr>
            </w:pPr>
            <w:r w:rsidRPr="00EE5342">
              <w:rPr>
                <w:sz w:val="20"/>
                <w:szCs w:val="20"/>
                <w:lang w:val="en-US" w:eastAsia="es-AR"/>
              </w:rPr>
              <w:t>Software and IT services</w:t>
            </w:r>
          </w:p>
        </w:tc>
        <w:tc>
          <w:tcPr>
            <w:tcW w:w="704" w:type="dxa"/>
            <w:noWrap/>
          </w:tcPr>
          <w:p w14:paraId="787088BE" w14:textId="77777777" w:rsidR="00C41769" w:rsidRPr="00EE5342" w:rsidRDefault="00C41769" w:rsidP="00557280">
            <w:pPr>
              <w:jc w:val="center"/>
              <w:rPr>
                <w:sz w:val="20"/>
                <w:szCs w:val="20"/>
                <w:lang w:val="en-US" w:eastAsia="es-AR"/>
              </w:rPr>
            </w:pPr>
            <w:r w:rsidRPr="00EE5342">
              <w:rPr>
                <w:sz w:val="20"/>
                <w:szCs w:val="20"/>
                <w:lang w:val="en-US" w:eastAsia="es-AR"/>
              </w:rPr>
              <w:t>25</w:t>
            </w:r>
          </w:p>
        </w:tc>
        <w:tc>
          <w:tcPr>
            <w:tcW w:w="1105" w:type="dxa"/>
            <w:noWrap/>
            <w:hideMark/>
          </w:tcPr>
          <w:p w14:paraId="103AD611" w14:textId="77777777" w:rsidR="00C41769" w:rsidRPr="00EE5342" w:rsidRDefault="00C41769" w:rsidP="00557280">
            <w:pPr>
              <w:jc w:val="center"/>
              <w:rPr>
                <w:sz w:val="20"/>
                <w:szCs w:val="20"/>
                <w:lang w:val="en-US" w:eastAsia="es-AR"/>
              </w:rPr>
            </w:pPr>
            <w:r w:rsidRPr="00EE5342">
              <w:rPr>
                <w:sz w:val="20"/>
                <w:szCs w:val="20"/>
                <w:lang w:val="en-US" w:eastAsia="es-AR"/>
              </w:rPr>
              <w:t>59</w:t>
            </w:r>
          </w:p>
        </w:tc>
        <w:tc>
          <w:tcPr>
            <w:tcW w:w="1212" w:type="dxa"/>
            <w:noWrap/>
            <w:hideMark/>
          </w:tcPr>
          <w:p w14:paraId="3C32F32A" w14:textId="77777777" w:rsidR="00C41769" w:rsidRPr="00EE5342" w:rsidRDefault="00C41769" w:rsidP="00557280">
            <w:pPr>
              <w:jc w:val="center"/>
              <w:rPr>
                <w:sz w:val="20"/>
                <w:szCs w:val="20"/>
                <w:lang w:val="en-US" w:eastAsia="es-AR"/>
              </w:rPr>
            </w:pPr>
            <w:r w:rsidRPr="00EE5342">
              <w:rPr>
                <w:sz w:val="20"/>
                <w:szCs w:val="20"/>
                <w:lang w:val="en-US" w:eastAsia="es-AR"/>
              </w:rPr>
              <w:t>10.77849</w:t>
            </w:r>
          </w:p>
        </w:tc>
        <w:tc>
          <w:tcPr>
            <w:tcW w:w="1227" w:type="dxa"/>
          </w:tcPr>
          <w:p w14:paraId="09A75373" w14:textId="77777777" w:rsidR="00C41769" w:rsidRPr="00EE5342" w:rsidRDefault="00C41769" w:rsidP="00557280">
            <w:pPr>
              <w:jc w:val="center"/>
              <w:rPr>
                <w:sz w:val="20"/>
                <w:szCs w:val="20"/>
              </w:rPr>
            </w:pPr>
            <w:r w:rsidRPr="00EE5342">
              <w:rPr>
                <w:sz w:val="20"/>
                <w:szCs w:val="20"/>
              </w:rPr>
              <w:t>53,290</w:t>
            </w:r>
          </w:p>
        </w:tc>
        <w:tc>
          <w:tcPr>
            <w:tcW w:w="1059" w:type="dxa"/>
            <w:noWrap/>
            <w:hideMark/>
          </w:tcPr>
          <w:p w14:paraId="7339174D" w14:textId="77777777" w:rsidR="00C41769" w:rsidRPr="00EE5342" w:rsidRDefault="00C41769" w:rsidP="00557280">
            <w:pPr>
              <w:jc w:val="center"/>
              <w:rPr>
                <w:sz w:val="20"/>
                <w:szCs w:val="20"/>
                <w:lang w:val="en-US" w:eastAsia="es-AR"/>
              </w:rPr>
            </w:pPr>
            <w:r w:rsidRPr="00EE5342">
              <w:rPr>
                <w:sz w:val="20"/>
                <w:szCs w:val="20"/>
                <w:lang w:val="en-US" w:eastAsia="es-AR"/>
              </w:rPr>
              <w:t>10.63118</w:t>
            </w:r>
          </w:p>
        </w:tc>
        <w:tc>
          <w:tcPr>
            <w:tcW w:w="1209" w:type="dxa"/>
            <w:vAlign w:val="center"/>
          </w:tcPr>
          <w:p w14:paraId="703FCB79" w14:textId="77777777" w:rsidR="00C41769" w:rsidRPr="00EE5342" w:rsidRDefault="00C41769" w:rsidP="00557280">
            <w:pPr>
              <w:jc w:val="center"/>
              <w:rPr>
                <w:sz w:val="20"/>
                <w:szCs w:val="20"/>
              </w:rPr>
            </w:pPr>
            <w:r w:rsidRPr="00EE5342">
              <w:rPr>
                <w:sz w:val="20"/>
                <w:szCs w:val="20"/>
              </w:rPr>
              <w:t>38,138</w:t>
            </w:r>
          </w:p>
        </w:tc>
        <w:tc>
          <w:tcPr>
            <w:tcW w:w="1281" w:type="dxa"/>
            <w:noWrap/>
            <w:hideMark/>
          </w:tcPr>
          <w:p w14:paraId="5A6DCD61" w14:textId="77777777" w:rsidR="00C41769" w:rsidRPr="00EE5342" w:rsidRDefault="00C41769" w:rsidP="00557280">
            <w:pPr>
              <w:jc w:val="center"/>
              <w:rPr>
                <w:sz w:val="20"/>
                <w:szCs w:val="20"/>
                <w:lang w:val="en-US" w:eastAsia="es-AR"/>
              </w:rPr>
            </w:pPr>
            <w:r w:rsidRPr="00EE5342">
              <w:rPr>
                <w:sz w:val="20"/>
                <w:szCs w:val="20"/>
                <w:lang w:val="en-US" w:eastAsia="es-AR"/>
              </w:rPr>
              <w:t>88%</w:t>
            </w:r>
          </w:p>
        </w:tc>
      </w:tr>
      <w:tr w:rsidR="00C41769" w:rsidRPr="007C3120" w14:paraId="76AE9294" w14:textId="77777777" w:rsidTr="00557280">
        <w:trPr>
          <w:trHeight w:val="450"/>
        </w:trPr>
        <w:tc>
          <w:tcPr>
            <w:tcW w:w="2268" w:type="dxa"/>
            <w:noWrap/>
          </w:tcPr>
          <w:p w14:paraId="075247CE" w14:textId="77777777" w:rsidR="00C41769" w:rsidRPr="00EE5342" w:rsidRDefault="00C41769" w:rsidP="00557280">
            <w:pPr>
              <w:jc w:val="left"/>
              <w:rPr>
                <w:sz w:val="20"/>
                <w:szCs w:val="20"/>
                <w:lang w:val="en-US" w:eastAsia="es-AR"/>
              </w:rPr>
            </w:pPr>
            <w:r w:rsidRPr="00EE5342">
              <w:rPr>
                <w:sz w:val="20"/>
                <w:szCs w:val="20"/>
                <w:lang w:val="en-US" w:eastAsia="es-AR"/>
              </w:rPr>
              <w:t>Consulting business services</w:t>
            </w:r>
          </w:p>
        </w:tc>
        <w:tc>
          <w:tcPr>
            <w:tcW w:w="704" w:type="dxa"/>
            <w:noWrap/>
          </w:tcPr>
          <w:p w14:paraId="7A995DC2" w14:textId="77777777" w:rsidR="00C41769" w:rsidRPr="00EE5342" w:rsidRDefault="00C41769" w:rsidP="00557280">
            <w:pPr>
              <w:jc w:val="center"/>
              <w:rPr>
                <w:sz w:val="20"/>
                <w:szCs w:val="20"/>
                <w:lang w:val="en-US" w:eastAsia="es-AR"/>
              </w:rPr>
            </w:pPr>
            <w:r w:rsidRPr="00EE5342">
              <w:rPr>
                <w:sz w:val="20"/>
                <w:szCs w:val="20"/>
                <w:lang w:val="en-US" w:eastAsia="es-AR"/>
              </w:rPr>
              <w:t>101</w:t>
            </w:r>
          </w:p>
        </w:tc>
        <w:tc>
          <w:tcPr>
            <w:tcW w:w="1105" w:type="dxa"/>
            <w:noWrap/>
            <w:hideMark/>
          </w:tcPr>
          <w:p w14:paraId="68AED6F5" w14:textId="77777777" w:rsidR="00C41769" w:rsidRPr="00EE5342" w:rsidRDefault="00C41769" w:rsidP="00557280">
            <w:pPr>
              <w:jc w:val="center"/>
              <w:rPr>
                <w:sz w:val="20"/>
                <w:szCs w:val="20"/>
                <w:lang w:val="en-US" w:eastAsia="es-AR"/>
              </w:rPr>
            </w:pPr>
            <w:r w:rsidRPr="00EE5342">
              <w:rPr>
                <w:sz w:val="20"/>
                <w:szCs w:val="20"/>
                <w:lang w:val="en-US" w:eastAsia="es-AR"/>
              </w:rPr>
              <w:t>61</w:t>
            </w:r>
          </w:p>
        </w:tc>
        <w:tc>
          <w:tcPr>
            <w:tcW w:w="1212" w:type="dxa"/>
            <w:noWrap/>
            <w:hideMark/>
          </w:tcPr>
          <w:p w14:paraId="16795C08" w14:textId="77777777" w:rsidR="00C41769" w:rsidRPr="00EE5342" w:rsidRDefault="00C41769" w:rsidP="00557280">
            <w:pPr>
              <w:jc w:val="center"/>
              <w:rPr>
                <w:sz w:val="20"/>
                <w:szCs w:val="20"/>
                <w:lang w:val="en-US" w:eastAsia="es-AR"/>
              </w:rPr>
            </w:pPr>
            <w:r w:rsidRPr="00EE5342">
              <w:rPr>
                <w:sz w:val="20"/>
                <w:szCs w:val="20"/>
                <w:lang w:val="en-US" w:eastAsia="es-AR"/>
              </w:rPr>
              <w:t>10.47837</w:t>
            </w:r>
          </w:p>
        </w:tc>
        <w:tc>
          <w:tcPr>
            <w:tcW w:w="1227" w:type="dxa"/>
          </w:tcPr>
          <w:p w14:paraId="48CC6F61" w14:textId="77777777" w:rsidR="00C41769" w:rsidRPr="00EE5342" w:rsidRDefault="00C41769" w:rsidP="00557280">
            <w:pPr>
              <w:jc w:val="center"/>
              <w:rPr>
                <w:sz w:val="20"/>
                <w:szCs w:val="20"/>
              </w:rPr>
            </w:pPr>
            <w:r w:rsidRPr="00EE5342">
              <w:rPr>
                <w:sz w:val="20"/>
                <w:szCs w:val="20"/>
              </w:rPr>
              <w:t>57,255</w:t>
            </w:r>
          </w:p>
        </w:tc>
        <w:tc>
          <w:tcPr>
            <w:tcW w:w="1059" w:type="dxa"/>
            <w:noWrap/>
            <w:hideMark/>
          </w:tcPr>
          <w:p w14:paraId="65D9B939" w14:textId="77777777" w:rsidR="00C41769" w:rsidRPr="00EE5342" w:rsidRDefault="00C41769" w:rsidP="00557280">
            <w:pPr>
              <w:jc w:val="center"/>
              <w:rPr>
                <w:sz w:val="20"/>
                <w:szCs w:val="20"/>
                <w:lang w:val="en-US" w:eastAsia="es-AR"/>
              </w:rPr>
            </w:pPr>
            <w:r w:rsidRPr="00EE5342">
              <w:rPr>
                <w:sz w:val="20"/>
                <w:szCs w:val="20"/>
                <w:lang w:val="en-US" w:eastAsia="es-AR"/>
              </w:rPr>
              <w:t>10.1267</w:t>
            </w:r>
          </w:p>
        </w:tc>
        <w:tc>
          <w:tcPr>
            <w:tcW w:w="1209" w:type="dxa"/>
            <w:vAlign w:val="center"/>
          </w:tcPr>
          <w:p w14:paraId="6CA3A981" w14:textId="77777777" w:rsidR="00C41769" w:rsidRPr="00EE5342" w:rsidRDefault="00C41769" w:rsidP="00557280">
            <w:pPr>
              <w:jc w:val="center"/>
              <w:rPr>
                <w:sz w:val="20"/>
                <w:szCs w:val="20"/>
              </w:rPr>
            </w:pPr>
            <w:r w:rsidRPr="00EE5342">
              <w:rPr>
                <w:sz w:val="20"/>
                <w:szCs w:val="20"/>
              </w:rPr>
              <w:t>44,846</w:t>
            </w:r>
          </w:p>
        </w:tc>
        <w:tc>
          <w:tcPr>
            <w:tcW w:w="1281" w:type="dxa"/>
            <w:noWrap/>
            <w:hideMark/>
          </w:tcPr>
          <w:p w14:paraId="5DAAA5FC" w14:textId="77777777" w:rsidR="00C41769" w:rsidRPr="00EE5342" w:rsidRDefault="00C41769" w:rsidP="00557280">
            <w:pPr>
              <w:jc w:val="center"/>
              <w:rPr>
                <w:sz w:val="20"/>
                <w:szCs w:val="20"/>
                <w:lang w:val="en-US" w:eastAsia="es-AR"/>
              </w:rPr>
            </w:pPr>
            <w:r w:rsidRPr="00EE5342">
              <w:rPr>
                <w:sz w:val="20"/>
                <w:szCs w:val="20"/>
                <w:lang w:val="en-US" w:eastAsia="es-AR"/>
              </w:rPr>
              <w:t>60%</w:t>
            </w:r>
          </w:p>
        </w:tc>
      </w:tr>
      <w:tr w:rsidR="00C41769" w:rsidRPr="007C3120" w14:paraId="279F774E" w14:textId="77777777" w:rsidTr="00557280">
        <w:trPr>
          <w:trHeight w:val="352"/>
        </w:trPr>
        <w:tc>
          <w:tcPr>
            <w:tcW w:w="2268" w:type="dxa"/>
            <w:noWrap/>
          </w:tcPr>
          <w:p w14:paraId="223A3666" w14:textId="77777777" w:rsidR="00C41769" w:rsidRPr="00EE5342" w:rsidRDefault="00C41769" w:rsidP="00557280">
            <w:pPr>
              <w:jc w:val="left"/>
              <w:rPr>
                <w:sz w:val="20"/>
                <w:szCs w:val="20"/>
                <w:lang w:val="en-US" w:eastAsia="es-AR"/>
              </w:rPr>
            </w:pPr>
            <w:r w:rsidRPr="00EE5342">
              <w:rPr>
                <w:sz w:val="20"/>
                <w:szCs w:val="20"/>
                <w:lang w:val="en-US" w:eastAsia="es-AR"/>
              </w:rPr>
              <w:lastRenderedPageBreak/>
              <w:t>Medical services</w:t>
            </w:r>
          </w:p>
        </w:tc>
        <w:tc>
          <w:tcPr>
            <w:tcW w:w="704" w:type="dxa"/>
            <w:noWrap/>
          </w:tcPr>
          <w:p w14:paraId="2E4599A2" w14:textId="77777777" w:rsidR="00C41769" w:rsidRPr="00EE5342" w:rsidRDefault="00C41769" w:rsidP="00557280">
            <w:pPr>
              <w:jc w:val="center"/>
              <w:rPr>
                <w:sz w:val="20"/>
                <w:szCs w:val="20"/>
                <w:lang w:val="en-US" w:eastAsia="es-AR"/>
              </w:rPr>
            </w:pPr>
            <w:r w:rsidRPr="00EE5342">
              <w:rPr>
                <w:sz w:val="20"/>
                <w:szCs w:val="20"/>
                <w:lang w:val="en-US" w:eastAsia="es-AR"/>
              </w:rPr>
              <w:t>46</w:t>
            </w:r>
          </w:p>
        </w:tc>
        <w:tc>
          <w:tcPr>
            <w:tcW w:w="1105" w:type="dxa"/>
            <w:noWrap/>
            <w:hideMark/>
          </w:tcPr>
          <w:p w14:paraId="3F23A6A1" w14:textId="77777777" w:rsidR="00C41769" w:rsidRPr="00EE5342" w:rsidRDefault="00C41769" w:rsidP="00557280">
            <w:pPr>
              <w:jc w:val="center"/>
              <w:rPr>
                <w:sz w:val="20"/>
                <w:szCs w:val="20"/>
                <w:lang w:val="en-US" w:eastAsia="es-AR"/>
              </w:rPr>
            </w:pPr>
            <w:r w:rsidRPr="00EE5342">
              <w:rPr>
                <w:sz w:val="20"/>
                <w:szCs w:val="20"/>
                <w:lang w:val="en-US" w:eastAsia="es-AR"/>
              </w:rPr>
              <w:t>48</w:t>
            </w:r>
          </w:p>
        </w:tc>
        <w:tc>
          <w:tcPr>
            <w:tcW w:w="1212" w:type="dxa"/>
            <w:noWrap/>
            <w:hideMark/>
          </w:tcPr>
          <w:p w14:paraId="55BC52F7" w14:textId="77777777" w:rsidR="00C41769" w:rsidRPr="00EE5342" w:rsidRDefault="00C41769" w:rsidP="00557280">
            <w:pPr>
              <w:jc w:val="center"/>
              <w:rPr>
                <w:sz w:val="20"/>
                <w:szCs w:val="20"/>
                <w:lang w:val="en-US" w:eastAsia="es-AR"/>
              </w:rPr>
            </w:pPr>
            <w:r w:rsidRPr="00EE5342">
              <w:rPr>
                <w:sz w:val="20"/>
                <w:szCs w:val="20"/>
                <w:lang w:val="en-US" w:eastAsia="es-AR"/>
              </w:rPr>
              <w:t>10.59986</w:t>
            </w:r>
          </w:p>
        </w:tc>
        <w:tc>
          <w:tcPr>
            <w:tcW w:w="1227" w:type="dxa"/>
          </w:tcPr>
          <w:p w14:paraId="34C7BDD3" w14:textId="77777777" w:rsidR="00C41769" w:rsidRPr="00EE5342" w:rsidRDefault="00C41769" w:rsidP="00557280">
            <w:pPr>
              <w:jc w:val="center"/>
              <w:rPr>
                <w:sz w:val="20"/>
                <w:szCs w:val="20"/>
              </w:rPr>
            </w:pPr>
            <w:r w:rsidRPr="00EE5342">
              <w:rPr>
                <w:sz w:val="20"/>
                <w:szCs w:val="20"/>
              </w:rPr>
              <w:t>50,183</w:t>
            </w:r>
          </w:p>
        </w:tc>
        <w:tc>
          <w:tcPr>
            <w:tcW w:w="1059" w:type="dxa"/>
            <w:noWrap/>
            <w:hideMark/>
          </w:tcPr>
          <w:p w14:paraId="6DCA174C" w14:textId="77777777" w:rsidR="00C41769" w:rsidRPr="00EE5342" w:rsidRDefault="00C41769" w:rsidP="00557280">
            <w:pPr>
              <w:jc w:val="center"/>
              <w:rPr>
                <w:sz w:val="20"/>
                <w:szCs w:val="20"/>
                <w:lang w:val="en-US" w:eastAsia="es-AR"/>
              </w:rPr>
            </w:pPr>
            <w:r w:rsidRPr="00EE5342">
              <w:rPr>
                <w:sz w:val="20"/>
                <w:szCs w:val="20"/>
                <w:lang w:val="en-US" w:eastAsia="es-AR"/>
              </w:rPr>
              <w:t>10.14587</w:t>
            </w:r>
          </w:p>
        </w:tc>
        <w:tc>
          <w:tcPr>
            <w:tcW w:w="1209" w:type="dxa"/>
            <w:vAlign w:val="center"/>
          </w:tcPr>
          <w:p w14:paraId="7CECC208" w14:textId="77777777" w:rsidR="00C41769" w:rsidRPr="00EE5342" w:rsidRDefault="00C41769" w:rsidP="00557280">
            <w:pPr>
              <w:jc w:val="center"/>
              <w:rPr>
                <w:sz w:val="20"/>
                <w:szCs w:val="20"/>
              </w:rPr>
            </w:pPr>
            <w:r w:rsidRPr="00EE5342">
              <w:rPr>
                <w:sz w:val="20"/>
                <w:szCs w:val="20"/>
              </w:rPr>
              <w:t>32,761</w:t>
            </w:r>
          </w:p>
        </w:tc>
        <w:tc>
          <w:tcPr>
            <w:tcW w:w="1281" w:type="dxa"/>
            <w:noWrap/>
            <w:hideMark/>
          </w:tcPr>
          <w:p w14:paraId="21DC9DD3" w14:textId="77777777" w:rsidR="00C41769" w:rsidRPr="00EE5342" w:rsidRDefault="00C41769" w:rsidP="00557280">
            <w:pPr>
              <w:jc w:val="center"/>
              <w:rPr>
                <w:sz w:val="20"/>
                <w:szCs w:val="20"/>
                <w:lang w:val="en-US" w:eastAsia="es-AR"/>
              </w:rPr>
            </w:pPr>
            <w:r w:rsidRPr="00EE5342">
              <w:rPr>
                <w:sz w:val="20"/>
                <w:szCs w:val="20"/>
                <w:lang w:val="en-US" w:eastAsia="es-AR"/>
              </w:rPr>
              <w:t>71%</w:t>
            </w:r>
          </w:p>
        </w:tc>
      </w:tr>
      <w:tr w:rsidR="00C41769" w:rsidRPr="008A5F8D" w14:paraId="6C08BE8B" w14:textId="77777777" w:rsidTr="00557280">
        <w:trPr>
          <w:trHeight w:val="300"/>
        </w:trPr>
        <w:tc>
          <w:tcPr>
            <w:tcW w:w="2268" w:type="dxa"/>
            <w:noWrap/>
          </w:tcPr>
          <w:p w14:paraId="2BB0A209" w14:textId="77777777" w:rsidR="00C41769" w:rsidRPr="00F927C9" w:rsidRDefault="00C41769" w:rsidP="00557280">
            <w:pPr>
              <w:jc w:val="left"/>
              <w:rPr>
                <w:b/>
                <w:sz w:val="20"/>
                <w:szCs w:val="20"/>
                <w:lang w:val="en-US" w:eastAsia="es-AR"/>
              </w:rPr>
            </w:pPr>
            <w:r w:rsidRPr="00F927C9">
              <w:rPr>
                <w:b/>
                <w:sz w:val="20"/>
                <w:szCs w:val="20"/>
                <w:lang w:val="en-US" w:eastAsia="es-AR"/>
              </w:rPr>
              <w:t>Total</w:t>
            </w:r>
          </w:p>
        </w:tc>
        <w:tc>
          <w:tcPr>
            <w:tcW w:w="704" w:type="dxa"/>
            <w:noWrap/>
          </w:tcPr>
          <w:p w14:paraId="3244FDAD" w14:textId="77777777" w:rsidR="00C41769" w:rsidRPr="00F927C9" w:rsidRDefault="00C41769" w:rsidP="00557280">
            <w:pPr>
              <w:jc w:val="center"/>
              <w:rPr>
                <w:b/>
                <w:sz w:val="20"/>
                <w:szCs w:val="20"/>
                <w:lang w:val="en-US" w:eastAsia="es-AR"/>
              </w:rPr>
            </w:pPr>
            <w:r w:rsidRPr="00F927C9">
              <w:rPr>
                <w:b/>
                <w:sz w:val="20"/>
                <w:szCs w:val="20"/>
                <w:lang w:val="en-US" w:eastAsia="es-AR"/>
              </w:rPr>
              <w:t>1416</w:t>
            </w:r>
          </w:p>
        </w:tc>
        <w:tc>
          <w:tcPr>
            <w:tcW w:w="1105" w:type="dxa"/>
            <w:noWrap/>
            <w:hideMark/>
          </w:tcPr>
          <w:p w14:paraId="1BC4977D" w14:textId="77777777" w:rsidR="00C41769" w:rsidRPr="00F927C9" w:rsidRDefault="00C41769" w:rsidP="00557280">
            <w:pPr>
              <w:jc w:val="center"/>
              <w:rPr>
                <w:b/>
                <w:sz w:val="20"/>
                <w:szCs w:val="20"/>
                <w:lang w:val="en-US" w:eastAsia="es-AR"/>
              </w:rPr>
            </w:pPr>
            <w:r w:rsidRPr="00F927C9">
              <w:rPr>
                <w:b/>
                <w:sz w:val="20"/>
                <w:szCs w:val="20"/>
                <w:lang w:val="en-US" w:eastAsia="es-AR"/>
              </w:rPr>
              <w:t>57</w:t>
            </w:r>
          </w:p>
        </w:tc>
        <w:tc>
          <w:tcPr>
            <w:tcW w:w="1212" w:type="dxa"/>
            <w:noWrap/>
            <w:hideMark/>
          </w:tcPr>
          <w:p w14:paraId="5FF44E61" w14:textId="77777777" w:rsidR="00C41769" w:rsidRPr="00F927C9" w:rsidRDefault="00C41769" w:rsidP="00557280">
            <w:pPr>
              <w:jc w:val="center"/>
              <w:rPr>
                <w:b/>
                <w:sz w:val="20"/>
                <w:szCs w:val="20"/>
                <w:lang w:val="en-US" w:eastAsia="es-AR"/>
              </w:rPr>
            </w:pPr>
            <w:r w:rsidRPr="00F927C9">
              <w:rPr>
                <w:b/>
                <w:sz w:val="20"/>
                <w:szCs w:val="20"/>
                <w:lang w:val="en-US" w:eastAsia="es-AR"/>
              </w:rPr>
              <w:t>10.587</w:t>
            </w:r>
          </w:p>
        </w:tc>
        <w:tc>
          <w:tcPr>
            <w:tcW w:w="1227" w:type="dxa"/>
          </w:tcPr>
          <w:p w14:paraId="3A6FD361" w14:textId="77777777" w:rsidR="00C41769" w:rsidRPr="00F927C9" w:rsidRDefault="00C41769" w:rsidP="00557280">
            <w:pPr>
              <w:jc w:val="center"/>
              <w:rPr>
                <w:b/>
                <w:sz w:val="20"/>
                <w:szCs w:val="20"/>
              </w:rPr>
            </w:pPr>
            <w:r w:rsidRPr="00F927C9">
              <w:rPr>
                <w:b/>
                <w:sz w:val="20"/>
                <w:szCs w:val="20"/>
              </w:rPr>
              <w:t>50,553</w:t>
            </w:r>
          </w:p>
        </w:tc>
        <w:tc>
          <w:tcPr>
            <w:tcW w:w="1059" w:type="dxa"/>
            <w:noWrap/>
            <w:hideMark/>
          </w:tcPr>
          <w:p w14:paraId="6F0CF88B" w14:textId="77777777" w:rsidR="00C41769" w:rsidRPr="00F927C9" w:rsidRDefault="00C41769" w:rsidP="00557280">
            <w:pPr>
              <w:jc w:val="center"/>
              <w:rPr>
                <w:b/>
                <w:sz w:val="20"/>
                <w:szCs w:val="20"/>
                <w:lang w:val="en-US" w:eastAsia="es-AR"/>
              </w:rPr>
            </w:pPr>
            <w:r w:rsidRPr="00F927C9">
              <w:rPr>
                <w:b/>
                <w:sz w:val="20"/>
                <w:szCs w:val="20"/>
                <w:lang w:val="en-US" w:eastAsia="es-AR"/>
              </w:rPr>
              <w:t>10.1523</w:t>
            </w:r>
          </w:p>
        </w:tc>
        <w:tc>
          <w:tcPr>
            <w:tcW w:w="1209" w:type="dxa"/>
          </w:tcPr>
          <w:p w14:paraId="5FA7D133" w14:textId="77777777" w:rsidR="00C41769" w:rsidRPr="00F927C9" w:rsidRDefault="00C41769" w:rsidP="00557280">
            <w:pPr>
              <w:jc w:val="center"/>
              <w:rPr>
                <w:b/>
                <w:sz w:val="20"/>
                <w:szCs w:val="20"/>
                <w:lang w:val="en-US" w:eastAsia="es-AR"/>
              </w:rPr>
            </w:pPr>
            <w:r w:rsidRPr="00F927C9">
              <w:rPr>
                <w:b/>
                <w:sz w:val="20"/>
                <w:szCs w:val="20"/>
                <w:lang w:val="en-US" w:eastAsia="es-AR"/>
              </w:rPr>
              <w:t>33,587</w:t>
            </w:r>
          </w:p>
        </w:tc>
        <w:tc>
          <w:tcPr>
            <w:tcW w:w="1281" w:type="dxa"/>
            <w:noWrap/>
            <w:hideMark/>
          </w:tcPr>
          <w:p w14:paraId="44117029" w14:textId="77777777" w:rsidR="00C41769" w:rsidRPr="00F927C9" w:rsidRDefault="00C41769" w:rsidP="00557280">
            <w:pPr>
              <w:jc w:val="center"/>
              <w:rPr>
                <w:b/>
                <w:sz w:val="20"/>
                <w:szCs w:val="20"/>
                <w:lang w:val="en-US" w:eastAsia="es-AR"/>
              </w:rPr>
            </w:pPr>
            <w:r w:rsidRPr="00F927C9">
              <w:rPr>
                <w:b/>
                <w:sz w:val="20"/>
                <w:szCs w:val="20"/>
                <w:lang w:val="en-US" w:eastAsia="es-AR"/>
              </w:rPr>
              <w:t>61%</w:t>
            </w:r>
          </w:p>
        </w:tc>
      </w:tr>
    </w:tbl>
    <w:p w14:paraId="2682B8AF" w14:textId="77777777" w:rsidR="00C41769" w:rsidRPr="008B1E10" w:rsidRDefault="00C41769" w:rsidP="00C41769">
      <w:pPr>
        <w:rPr>
          <w:sz w:val="22"/>
          <w:szCs w:val="22"/>
          <w:lang w:val="en-US"/>
        </w:rPr>
      </w:pPr>
      <w:r w:rsidRPr="008B1E10">
        <w:rPr>
          <w:sz w:val="22"/>
          <w:szCs w:val="22"/>
          <w:lang w:val="en-US"/>
        </w:rPr>
        <w:t xml:space="preserve">Source: Own elaboration base on </w:t>
      </w:r>
      <w:proofErr w:type="spellStart"/>
      <w:r w:rsidRPr="008B1E10">
        <w:rPr>
          <w:sz w:val="22"/>
          <w:szCs w:val="22"/>
          <w:lang w:val="en-US"/>
        </w:rPr>
        <w:t>Mapa</w:t>
      </w:r>
      <w:proofErr w:type="spellEnd"/>
      <w:r w:rsidRPr="008B1E10">
        <w:rPr>
          <w:sz w:val="22"/>
          <w:szCs w:val="22"/>
          <w:lang w:val="en-US"/>
        </w:rPr>
        <w:t xml:space="preserve"> </w:t>
      </w:r>
      <w:proofErr w:type="spellStart"/>
      <w:r w:rsidRPr="008B1E10">
        <w:rPr>
          <w:sz w:val="22"/>
          <w:szCs w:val="22"/>
          <w:lang w:val="en-US"/>
        </w:rPr>
        <w:t>Pyme</w:t>
      </w:r>
      <w:proofErr w:type="spellEnd"/>
      <w:r w:rsidRPr="008B1E10">
        <w:rPr>
          <w:sz w:val="22"/>
          <w:szCs w:val="22"/>
          <w:lang w:val="en-US"/>
        </w:rPr>
        <w:t>.</w:t>
      </w:r>
    </w:p>
    <w:p w14:paraId="1C5D8DB6" w14:textId="77777777" w:rsidR="00934AE4" w:rsidRDefault="00934AE4" w:rsidP="00934AE4">
      <w:pPr>
        <w:spacing w:before="240"/>
        <w:rPr>
          <w:szCs w:val="24"/>
          <w:lang w:val="en-US"/>
        </w:rPr>
      </w:pPr>
      <w:r>
        <w:rPr>
          <w:szCs w:val="24"/>
          <w:lang w:val="en-US"/>
        </w:rPr>
        <w:t>On the one hand, l</w:t>
      </w:r>
      <w:r w:rsidRPr="00F81EA3">
        <w:rPr>
          <w:szCs w:val="24"/>
          <w:lang w:val="en-US"/>
        </w:rPr>
        <w:t xml:space="preserve">abor productivity is higher in </w:t>
      </w:r>
      <w:r>
        <w:rPr>
          <w:szCs w:val="24"/>
          <w:lang w:val="en-US" w:eastAsia="es-AR"/>
        </w:rPr>
        <w:t>low</w:t>
      </w:r>
      <w:r w:rsidRPr="00F81EA3">
        <w:rPr>
          <w:szCs w:val="24"/>
          <w:lang w:val="en-US" w:eastAsia="es-AR"/>
        </w:rPr>
        <w:t xml:space="preserve"> </w:t>
      </w:r>
      <w:r>
        <w:rPr>
          <w:szCs w:val="24"/>
          <w:lang w:val="en-US"/>
        </w:rPr>
        <w:t>t</w:t>
      </w:r>
      <w:r w:rsidRPr="00F81EA3">
        <w:rPr>
          <w:szCs w:val="24"/>
          <w:lang w:val="en-US"/>
        </w:rPr>
        <w:t>ech and in those sectors w</w:t>
      </w:r>
      <w:r>
        <w:rPr>
          <w:szCs w:val="24"/>
          <w:lang w:val="en-US"/>
        </w:rPr>
        <w:t>h</w:t>
      </w:r>
      <w:r w:rsidRPr="00F81EA3">
        <w:rPr>
          <w:szCs w:val="24"/>
          <w:lang w:val="en-US"/>
        </w:rPr>
        <w:t>ere co</w:t>
      </w:r>
      <w:r>
        <w:rPr>
          <w:szCs w:val="24"/>
          <w:lang w:val="en-US"/>
        </w:rPr>
        <w:t>l</w:t>
      </w:r>
      <w:r w:rsidRPr="00F81EA3">
        <w:rPr>
          <w:szCs w:val="24"/>
          <w:lang w:val="en-US"/>
        </w:rPr>
        <w:t xml:space="preserve">lective bargain </w:t>
      </w:r>
      <w:r>
        <w:rPr>
          <w:szCs w:val="24"/>
          <w:lang w:val="en-US"/>
        </w:rPr>
        <w:t>made little improvements. On the other hand better wages are paid in h</w:t>
      </w:r>
      <w:r w:rsidRPr="00266EA6">
        <w:rPr>
          <w:szCs w:val="24"/>
          <w:lang w:val="en-US"/>
        </w:rPr>
        <w:t>igh</w:t>
      </w:r>
      <w:r>
        <w:rPr>
          <w:szCs w:val="24"/>
          <w:lang w:val="en-US"/>
        </w:rPr>
        <w:t>-</w:t>
      </w:r>
      <w:r w:rsidRPr="00266EA6">
        <w:rPr>
          <w:szCs w:val="24"/>
          <w:lang w:val="en-US"/>
        </w:rPr>
        <w:t xml:space="preserve"> and </w:t>
      </w:r>
      <w:r>
        <w:rPr>
          <w:szCs w:val="24"/>
          <w:lang w:val="en-US"/>
        </w:rPr>
        <w:t>m</w:t>
      </w:r>
      <w:r w:rsidRPr="00266EA6">
        <w:rPr>
          <w:szCs w:val="24"/>
          <w:lang w:val="en-US"/>
        </w:rPr>
        <w:t>edium</w:t>
      </w:r>
      <w:r>
        <w:rPr>
          <w:szCs w:val="24"/>
          <w:lang w:val="en-US"/>
        </w:rPr>
        <w:t>-t</w:t>
      </w:r>
      <w:r w:rsidRPr="00266EA6">
        <w:rPr>
          <w:szCs w:val="24"/>
          <w:lang w:val="en-US"/>
        </w:rPr>
        <w:t>ech sectors and</w:t>
      </w:r>
      <w:r>
        <w:rPr>
          <w:szCs w:val="24"/>
          <w:lang w:val="en-US"/>
        </w:rPr>
        <w:t xml:space="preserve"> in</w:t>
      </w:r>
      <w:r w:rsidRPr="00266EA6">
        <w:rPr>
          <w:szCs w:val="24"/>
          <w:lang w:val="en-US"/>
        </w:rPr>
        <w:t xml:space="preserve"> </w:t>
      </w:r>
      <w:r w:rsidRPr="00F81EA3">
        <w:rPr>
          <w:szCs w:val="24"/>
          <w:lang w:val="en-US"/>
        </w:rPr>
        <w:t>sectors w</w:t>
      </w:r>
      <w:r>
        <w:rPr>
          <w:szCs w:val="24"/>
          <w:lang w:val="en-US"/>
        </w:rPr>
        <w:t>h</w:t>
      </w:r>
      <w:r w:rsidRPr="00F81EA3">
        <w:rPr>
          <w:szCs w:val="24"/>
          <w:lang w:val="en-US"/>
        </w:rPr>
        <w:t>ere co</w:t>
      </w:r>
      <w:r>
        <w:rPr>
          <w:szCs w:val="24"/>
          <w:lang w:val="en-US"/>
        </w:rPr>
        <w:t xml:space="preserve">llective bargain </w:t>
      </w:r>
      <w:r w:rsidRPr="00266EA6">
        <w:rPr>
          <w:szCs w:val="24"/>
          <w:lang w:val="en-US"/>
        </w:rPr>
        <w:t>led to improvements above the average</w:t>
      </w:r>
      <w:r>
        <w:rPr>
          <w:szCs w:val="24"/>
          <w:lang w:val="en-US"/>
        </w:rPr>
        <w:t xml:space="preserve"> level</w:t>
      </w:r>
      <w:r w:rsidRPr="00266EA6">
        <w:rPr>
          <w:szCs w:val="24"/>
          <w:lang w:val="en-US"/>
        </w:rPr>
        <w:t>.</w:t>
      </w:r>
      <w:r>
        <w:rPr>
          <w:szCs w:val="24"/>
          <w:lang w:val="en-US"/>
        </w:rPr>
        <w:t xml:space="preserve">  Training activities are performed more frequently in medium and high-tech sectors and in those sectors were unions have negotiated below the average levels (See Table 2).</w:t>
      </w:r>
    </w:p>
    <w:p w14:paraId="47B87FED" w14:textId="77777777" w:rsidR="00C41769" w:rsidRPr="00F81EA3" w:rsidRDefault="00C41769" w:rsidP="00C41769">
      <w:pPr>
        <w:rPr>
          <w:b/>
          <w:lang w:val="en-US"/>
        </w:rPr>
      </w:pPr>
      <w:r w:rsidRPr="00F81EA3">
        <w:rPr>
          <w:b/>
          <w:lang w:val="en-US"/>
        </w:rPr>
        <w:t>Table 2. Several statistics by technology intensity and by results of collective bargain</w:t>
      </w:r>
    </w:p>
    <w:tbl>
      <w:tblPr>
        <w:tblStyle w:val="Cuadrculadetablaclara1"/>
        <w:tblW w:w="9906" w:type="dxa"/>
        <w:tblInd w:w="-289" w:type="dxa"/>
        <w:tblLook w:val="04A0" w:firstRow="1" w:lastRow="0" w:firstColumn="1" w:lastColumn="0" w:noHBand="0" w:noVBand="1"/>
      </w:tblPr>
      <w:tblGrid>
        <w:gridCol w:w="1985"/>
        <w:gridCol w:w="709"/>
        <w:gridCol w:w="1134"/>
        <w:gridCol w:w="1276"/>
        <w:gridCol w:w="1276"/>
        <w:gridCol w:w="1134"/>
        <w:gridCol w:w="1192"/>
        <w:gridCol w:w="1200"/>
      </w:tblGrid>
      <w:tr w:rsidR="00C41769" w:rsidRPr="00F45A4E" w14:paraId="3A146E2C" w14:textId="77777777" w:rsidTr="00557280">
        <w:trPr>
          <w:trHeight w:val="300"/>
        </w:trPr>
        <w:tc>
          <w:tcPr>
            <w:tcW w:w="1985" w:type="dxa"/>
            <w:noWrap/>
          </w:tcPr>
          <w:p w14:paraId="0C1086EF" w14:textId="77777777" w:rsidR="00C41769" w:rsidRPr="007C3120" w:rsidRDefault="00C41769" w:rsidP="00557280">
            <w:pPr>
              <w:jc w:val="left"/>
              <w:rPr>
                <w:sz w:val="20"/>
                <w:szCs w:val="20"/>
                <w:lang w:val="en-US" w:eastAsia="es-AR"/>
              </w:rPr>
            </w:pPr>
            <w:r w:rsidRPr="007C3120">
              <w:rPr>
                <w:sz w:val="20"/>
                <w:szCs w:val="20"/>
                <w:lang w:val="en-US" w:eastAsia="es-AR"/>
              </w:rPr>
              <w:t>Sector</w:t>
            </w:r>
          </w:p>
        </w:tc>
        <w:tc>
          <w:tcPr>
            <w:tcW w:w="709" w:type="dxa"/>
            <w:noWrap/>
          </w:tcPr>
          <w:p w14:paraId="71153E83" w14:textId="77777777" w:rsidR="00C41769" w:rsidRPr="007C3120" w:rsidRDefault="00C41769" w:rsidP="00557280">
            <w:pPr>
              <w:jc w:val="center"/>
              <w:rPr>
                <w:sz w:val="20"/>
                <w:szCs w:val="20"/>
                <w:lang w:val="en-US" w:eastAsia="es-AR"/>
              </w:rPr>
            </w:pPr>
            <w:r w:rsidRPr="007C3120">
              <w:rPr>
                <w:sz w:val="20"/>
                <w:szCs w:val="20"/>
                <w:lang w:val="en-US" w:eastAsia="es-AR"/>
              </w:rPr>
              <w:t>N</w:t>
            </w:r>
          </w:p>
        </w:tc>
        <w:tc>
          <w:tcPr>
            <w:tcW w:w="1134" w:type="dxa"/>
            <w:noWrap/>
          </w:tcPr>
          <w:p w14:paraId="570C1090" w14:textId="77777777" w:rsidR="00C41769" w:rsidRPr="007C3120" w:rsidRDefault="00C41769" w:rsidP="00557280">
            <w:pPr>
              <w:jc w:val="center"/>
              <w:rPr>
                <w:sz w:val="20"/>
                <w:szCs w:val="20"/>
                <w:lang w:val="en-US" w:eastAsia="es-AR"/>
              </w:rPr>
            </w:pPr>
            <w:r w:rsidRPr="007C3120">
              <w:rPr>
                <w:sz w:val="20"/>
                <w:szCs w:val="20"/>
                <w:lang w:val="en-US" w:eastAsia="es-AR"/>
              </w:rPr>
              <w:t>Number of employees 2008</w:t>
            </w:r>
          </w:p>
        </w:tc>
        <w:tc>
          <w:tcPr>
            <w:tcW w:w="1276" w:type="dxa"/>
            <w:noWrap/>
          </w:tcPr>
          <w:p w14:paraId="04E45096" w14:textId="77777777" w:rsidR="00C41769" w:rsidRPr="007C3120" w:rsidRDefault="00C41769" w:rsidP="00557280">
            <w:pPr>
              <w:jc w:val="center"/>
              <w:rPr>
                <w:sz w:val="20"/>
                <w:szCs w:val="20"/>
                <w:lang w:val="en-US" w:eastAsia="es-AR"/>
              </w:rPr>
            </w:pPr>
            <w:r w:rsidRPr="007C3120">
              <w:rPr>
                <w:sz w:val="20"/>
                <w:szCs w:val="20"/>
                <w:lang w:val="en-US" w:eastAsia="es-AR"/>
              </w:rPr>
              <w:t>Log (labor productivity) 2008</w:t>
            </w:r>
          </w:p>
        </w:tc>
        <w:tc>
          <w:tcPr>
            <w:tcW w:w="1276" w:type="dxa"/>
            <w:noWrap/>
          </w:tcPr>
          <w:p w14:paraId="45F45007" w14:textId="77777777" w:rsidR="00C41769" w:rsidRPr="007C3120" w:rsidRDefault="00C41769" w:rsidP="00737E86">
            <w:pPr>
              <w:jc w:val="center"/>
              <w:rPr>
                <w:sz w:val="20"/>
                <w:szCs w:val="20"/>
                <w:lang w:val="en-US" w:eastAsia="es-AR"/>
              </w:rPr>
            </w:pPr>
            <w:r>
              <w:rPr>
                <w:sz w:val="20"/>
                <w:szCs w:val="20"/>
                <w:lang w:val="en-US" w:eastAsia="es-AR"/>
              </w:rPr>
              <w:t>L</w:t>
            </w:r>
            <w:r w:rsidRPr="007C3120">
              <w:rPr>
                <w:sz w:val="20"/>
                <w:szCs w:val="20"/>
                <w:lang w:val="en-US" w:eastAsia="es-AR"/>
              </w:rPr>
              <w:t>abor productivity</w:t>
            </w:r>
            <w:r w:rsidR="008E43DD">
              <w:rPr>
                <w:sz w:val="20"/>
                <w:szCs w:val="20"/>
                <w:lang w:val="en-US" w:eastAsia="es-AR"/>
              </w:rPr>
              <w:t xml:space="preserve"> </w:t>
            </w:r>
            <w:r>
              <w:rPr>
                <w:sz w:val="20"/>
                <w:szCs w:val="20"/>
                <w:lang w:val="en-US" w:eastAsia="es-AR"/>
              </w:rPr>
              <w:t>(pesos 2008)</w:t>
            </w:r>
          </w:p>
        </w:tc>
        <w:tc>
          <w:tcPr>
            <w:tcW w:w="1134" w:type="dxa"/>
            <w:noWrap/>
          </w:tcPr>
          <w:p w14:paraId="48AEE599" w14:textId="77777777" w:rsidR="00C41769" w:rsidRPr="007C3120" w:rsidRDefault="00C41769" w:rsidP="00557280">
            <w:pPr>
              <w:jc w:val="center"/>
              <w:rPr>
                <w:sz w:val="20"/>
                <w:szCs w:val="20"/>
                <w:lang w:val="en-US" w:eastAsia="es-AR"/>
              </w:rPr>
            </w:pPr>
            <w:r w:rsidRPr="007C3120">
              <w:rPr>
                <w:sz w:val="20"/>
                <w:szCs w:val="20"/>
                <w:lang w:val="en-US" w:eastAsia="es-AR"/>
              </w:rPr>
              <w:t>Log (wages) 2008</w:t>
            </w:r>
          </w:p>
        </w:tc>
        <w:tc>
          <w:tcPr>
            <w:tcW w:w="1192" w:type="dxa"/>
            <w:noWrap/>
          </w:tcPr>
          <w:p w14:paraId="78AAFC3D" w14:textId="77777777" w:rsidR="00C41769" w:rsidRPr="007C3120" w:rsidRDefault="00C41769" w:rsidP="00557280">
            <w:pPr>
              <w:jc w:val="center"/>
              <w:rPr>
                <w:sz w:val="20"/>
                <w:szCs w:val="20"/>
                <w:lang w:val="en-US" w:eastAsia="es-AR"/>
              </w:rPr>
            </w:pPr>
            <w:r>
              <w:rPr>
                <w:sz w:val="20"/>
                <w:szCs w:val="20"/>
                <w:lang w:val="en-US" w:eastAsia="es-AR"/>
              </w:rPr>
              <w:t>Average wage (pesos 2008)</w:t>
            </w:r>
          </w:p>
        </w:tc>
        <w:tc>
          <w:tcPr>
            <w:tcW w:w="1200" w:type="dxa"/>
            <w:noWrap/>
          </w:tcPr>
          <w:p w14:paraId="529BB24F" w14:textId="77777777" w:rsidR="00C41769" w:rsidRPr="007C3120" w:rsidRDefault="00C41769" w:rsidP="00557280">
            <w:pPr>
              <w:jc w:val="center"/>
              <w:rPr>
                <w:sz w:val="20"/>
                <w:szCs w:val="20"/>
                <w:lang w:val="en-US" w:eastAsia="es-AR"/>
              </w:rPr>
            </w:pPr>
            <w:r w:rsidRPr="007C3120">
              <w:rPr>
                <w:sz w:val="20"/>
                <w:szCs w:val="20"/>
                <w:lang w:val="en-US" w:eastAsia="es-AR"/>
              </w:rPr>
              <w:t>Training activit</w:t>
            </w:r>
            <w:r>
              <w:rPr>
                <w:sz w:val="20"/>
                <w:szCs w:val="20"/>
                <w:lang w:val="en-US" w:eastAsia="es-AR"/>
              </w:rPr>
              <w:t>i</w:t>
            </w:r>
            <w:r w:rsidRPr="007C3120">
              <w:rPr>
                <w:sz w:val="20"/>
                <w:szCs w:val="20"/>
                <w:lang w:val="en-US" w:eastAsia="es-AR"/>
              </w:rPr>
              <w:t>es % (2006-2008)</w:t>
            </w:r>
          </w:p>
        </w:tc>
      </w:tr>
      <w:tr w:rsidR="00C41769" w:rsidRPr="00F45A4E" w14:paraId="5831BE9D" w14:textId="77777777" w:rsidTr="00557280">
        <w:trPr>
          <w:trHeight w:val="300"/>
        </w:trPr>
        <w:tc>
          <w:tcPr>
            <w:tcW w:w="1985" w:type="dxa"/>
            <w:noWrap/>
            <w:hideMark/>
          </w:tcPr>
          <w:p w14:paraId="3CD34FEC" w14:textId="77777777" w:rsidR="00C41769" w:rsidRPr="00F45A4E" w:rsidRDefault="00C41769" w:rsidP="00557280">
            <w:pPr>
              <w:jc w:val="left"/>
              <w:rPr>
                <w:sz w:val="20"/>
                <w:szCs w:val="20"/>
                <w:lang w:eastAsia="es-AR"/>
              </w:rPr>
            </w:pPr>
            <w:r w:rsidRPr="00F45A4E">
              <w:rPr>
                <w:sz w:val="20"/>
                <w:szCs w:val="20"/>
                <w:lang w:eastAsia="es-AR"/>
              </w:rPr>
              <w:t xml:space="preserve">High and Medium </w:t>
            </w:r>
            <w:proofErr w:type="spellStart"/>
            <w:r w:rsidRPr="00F45A4E">
              <w:rPr>
                <w:sz w:val="20"/>
                <w:szCs w:val="20"/>
                <w:lang w:eastAsia="es-AR"/>
              </w:rPr>
              <w:t>Tech</w:t>
            </w:r>
            <w:proofErr w:type="spellEnd"/>
          </w:p>
        </w:tc>
        <w:tc>
          <w:tcPr>
            <w:tcW w:w="709" w:type="dxa"/>
            <w:noWrap/>
            <w:hideMark/>
          </w:tcPr>
          <w:p w14:paraId="11ADE495" w14:textId="77777777" w:rsidR="00C41769" w:rsidRPr="00F45A4E" w:rsidRDefault="00C41769" w:rsidP="00557280">
            <w:pPr>
              <w:jc w:val="center"/>
              <w:rPr>
                <w:sz w:val="20"/>
                <w:szCs w:val="20"/>
                <w:lang w:eastAsia="es-AR"/>
              </w:rPr>
            </w:pPr>
            <w:r w:rsidRPr="00F45A4E">
              <w:rPr>
                <w:sz w:val="20"/>
                <w:szCs w:val="20"/>
                <w:lang w:eastAsia="es-AR"/>
              </w:rPr>
              <w:t>743</w:t>
            </w:r>
          </w:p>
        </w:tc>
        <w:tc>
          <w:tcPr>
            <w:tcW w:w="1134" w:type="dxa"/>
            <w:noWrap/>
            <w:hideMark/>
          </w:tcPr>
          <w:p w14:paraId="5726E56B" w14:textId="77777777" w:rsidR="00C41769" w:rsidRPr="00F45A4E" w:rsidRDefault="00C41769" w:rsidP="00557280">
            <w:pPr>
              <w:jc w:val="center"/>
              <w:rPr>
                <w:sz w:val="20"/>
                <w:szCs w:val="20"/>
                <w:lang w:eastAsia="es-AR"/>
              </w:rPr>
            </w:pPr>
            <w:r w:rsidRPr="00F45A4E">
              <w:rPr>
                <w:sz w:val="20"/>
                <w:szCs w:val="20"/>
                <w:lang w:eastAsia="es-AR"/>
              </w:rPr>
              <w:t>57</w:t>
            </w:r>
          </w:p>
        </w:tc>
        <w:tc>
          <w:tcPr>
            <w:tcW w:w="1276" w:type="dxa"/>
            <w:noWrap/>
            <w:hideMark/>
          </w:tcPr>
          <w:p w14:paraId="0A3C2A0B" w14:textId="77777777" w:rsidR="00C41769" w:rsidRPr="00F45A4E" w:rsidRDefault="00C41769" w:rsidP="00557280">
            <w:pPr>
              <w:jc w:val="center"/>
              <w:rPr>
                <w:sz w:val="20"/>
                <w:szCs w:val="20"/>
                <w:lang w:eastAsia="es-AR"/>
              </w:rPr>
            </w:pPr>
            <w:r w:rsidRPr="00F45A4E">
              <w:rPr>
                <w:sz w:val="20"/>
                <w:szCs w:val="20"/>
                <w:lang w:eastAsia="es-AR"/>
              </w:rPr>
              <w:t>10.58994</w:t>
            </w:r>
          </w:p>
        </w:tc>
        <w:tc>
          <w:tcPr>
            <w:tcW w:w="1276" w:type="dxa"/>
            <w:noWrap/>
            <w:hideMark/>
          </w:tcPr>
          <w:p w14:paraId="41259840" w14:textId="77777777" w:rsidR="00C41769" w:rsidRPr="00F45A4E" w:rsidRDefault="00C41769" w:rsidP="00557280">
            <w:pPr>
              <w:jc w:val="center"/>
              <w:rPr>
                <w:sz w:val="20"/>
                <w:szCs w:val="20"/>
                <w:lang w:eastAsia="es-AR"/>
              </w:rPr>
            </w:pPr>
            <w:r w:rsidRPr="00F45A4E">
              <w:rPr>
                <w:sz w:val="20"/>
                <w:szCs w:val="20"/>
                <w:lang w:eastAsia="es-AR"/>
              </w:rPr>
              <w:t>55,865</w:t>
            </w:r>
          </w:p>
        </w:tc>
        <w:tc>
          <w:tcPr>
            <w:tcW w:w="1134" w:type="dxa"/>
            <w:noWrap/>
            <w:hideMark/>
          </w:tcPr>
          <w:p w14:paraId="5A4EA830" w14:textId="77777777" w:rsidR="00C41769" w:rsidRPr="00F45A4E" w:rsidRDefault="00C41769" w:rsidP="00557280">
            <w:pPr>
              <w:jc w:val="center"/>
              <w:rPr>
                <w:sz w:val="20"/>
                <w:szCs w:val="20"/>
                <w:lang w:eastAsia="es-AR"/>
              </w:rPr>
            </w:pPr>
            <w:r w:rsidRPr="00F45A4E">
              <w:rPr>
                <w:sz w:val="20"/>
                <w:szCs w:val="20"/>
                <w:lang w:eastAsia="es-AR"/>
              </w:rPr>
              <w:t>10.16689</w:t>
            </w:r>
          </w:p>
        </w:tc>
        <w:tc>
          <w:tcPr>
            <w:tcW w:w="1192" w:type="dxa"/>
            <w:noWrap/>
            <w:hideMark/>
          </w:tcPr>
          <w:p w14:paraId="16972A95" w14:textId="77777777" w:rsidR="00C41769" w:rsidRPr="00F45A4E" w:rsidRDefault="00C41769" w:rsidP="00557280">
            <w:pPr>
              <w:jc w:val="center"/>
              <w:rPr>
                <w:sz w:val="20"/>
                <w:szCs w:val="20"/>
                <w:lang w:eastAsia="es-AR"/>
              </w:rPr>
            </w:pPr>
            <w:r w:rsidRPr="00F45A4E">
              <w:rPr>
                <w:sz w:val="20"/>
                <w:szCs w:val="20"/>
                <w:lang w:eastAsia="es-AR"/>
              </w:rPr>
              <w:t>36,208</w:t>
            </w:r>
          </w:p>
        </w:tc>
        <w:tc>
          <w:tcPr>
            <w:tcW w:w="1200" w:type="dxa"/>
            <w:noWrap/>
            <w:hideMark/>
          </w:tcPr>
          <w:p w14:paraId="4049543F" w14:textId="77777777" w:rsidR="00C41769" w:rsidRPr="00F45A4E" w:rsidRDefault="00C41769" w:rsidP="00557280">
            <w:pPr>
              <w:jc w:val="center"/>
              <w:rPr>
                <w:sz w:val="20"/>
                <w:szCs w:val="20"/>
                <w:lang w:eastAsia="es-AR"/>
              </w:rPr>
            </w:pPr>
            <w:r w:rsidRPr="00F45A4E">
              <w:rPr>
                <w:sz w:val="20"/>
                <w:szCs w:val="20"/>
                <w:lang w:eastAsia="es-AR"/>
              </w:rPr>
              <w:t>0.640541</w:t>
            </w:r>
          </w:p>
        </w:tc>
      </w:tr>
      <w:tr w:rsidR="00C41769" w:rsidRPr="00F45A4E" w14:paraId="0B1406CA" w14:textId="77777777" w:rsidTr="00557280">
        <w:trPr>
          <w:trHeight w:val="300"/>
        </w:trPr>
        <w:tc>
          <w:tcPr>
            <w:tcW w:w="1985" w:type="dxa"/>
            <w:noWrap/>
            <w:hideMark/>
          </w:tcPr>
          <w:p w14:paraId="076A830D" w14:textId="77777777" w:rsidR="00C41769" w:rsidRPr="00F45A4E" w:rsidRDefault="00C41769" w:rsidP="00557280">
            <w:pPr>
              <w:jc w:val="left"/>
              <w:rPr>
                <w:sz w:val="20"/>
                <w:szCs w:val="20"/>
                <w:lang w:eastAsia="es-AR"/>
              </w:rPr>
            </w:pPr>
            <w:proofErr w:type="spellStart"/>
            <w:r w:rsidRPr="00F45A4E">
              <w:rPr>
                <w:sz w:val="20"/>
                <w:szCs w:val="20"/>
                <w:lang w:eastAsia="es-AR"/>
              </w:rPr>
              <w:t>Low</w:t>
            </w:r>
            <w:proofErr w:type="spellEnd"/>
            <w:r w:rsidRPr="00F45A4E">
              <w:rPr>
                <w:sz w:val="20"/>
                <w:szCs w:val="20"/>
                <w:lang w:eastAsia="es-AR"/>
              </w:rPr>
              <w:t xml:space="preserve"> </w:t>
            </w:r>
            <w:proofErr w:type="spellStart"/>
            <w:r w:rsidRPr="00F45A4E">
              <w:rPr>
                <w:sz w:val="20"/>
                <w:szCs w:val="20"/>
                <w:lang w:eastAsia="es-AR"/>
              </w:rPr>
              <w:t>Tech</w:t>
            </w:r>
            <w:proofErr w:type="spellEnd"/>
          </w:p>
        </w:tc>
        <w:tc>
          <w:tcPr>
            <w:tcW w:w="709" w:type="dxa"/>
            <w:noWrap/>
            <w:hideMark/>
          </w:tcPr>
          <w:p w14:paraId="1C32406C" w14:textId="77777777" w:rsidR="00C41769" w:rsidRPr="00F45A4E" w:rsidRDefault="00C41769" w:rsidP="00557280">
            <w:pPr>
              <w:jc w:val="center"/>
              <w:rPr>
                <w:sz w:val="20"/>
                <w:szCs w:val="20"/>
                <w:lang w:eastAsia="es-AR"/>
              </w:rPr>
            </w:pPr>
            <w:r w:rsidRPr="00F45A4E">
              <w:rPr>
                <w:sz w:val="20"/>
                <w:szCs w:val="20"/>
                <w:lang w:eastAsia="es-AR"/>
              </w:rPr>
              <w:t>673</w:t>
            </w:r>
          </w:p>
        </w:tc>
        <w:tc>
          <w:tcPr>
            <w:tcW w:w="1134" w:type="dxa"/>
            <w:noWrap/>
            <w:hideMark/>
          </w:tcPr>
          <w:p w14:paraId="4EDE39A3" w14:textId="77777777" w:rsidR="00C41769" w:rsidRPr="00F45A4E" w:rsidRDefault="00C41769" w:rsidP="00557280">
            <w:pPr>
              <w:jc w:val="center"/>
              <w:rPr>
                <w:sz w:val="20"/>
                <w:szCs w:val="20"/>
                <w:lang w:eastAsia="es-AR"/>
              </w:rPr>
            </w:pPr>
            <w:r w:rsidRPr="00F45A4E">
              <w:rPr>
                <w:sz w:val="20"/>
                <w:szCs w:val="20"/>
                <w:lang w:eastAsia="es-AR"/>
              </w:rPr>
              <w:t>57</w:t>
            </w:r>
          </w:p>
        </w:tc>
        <w:tc>
          <w:tcPr>
            <w:tcW w:w="1276" w:type="dxa"/>
            <w:noWrap/>
            <w:hideMark/>
          </w:tcPr>
          <w:p w14:paraId="3E560A37" w14:textId="77777777" w:rsidR="00C41769" w:rsidRPr="00F45A4E" w:rsidRDefault="00C41769" w:rsidP="00557280">
            <w:pPr>
              <w:jc w:val="center"/>
              <w:rPr>
                <w:sz w:val="20"/>
                <w:szCs w:val="20"/>
                <w:lang w:eastAsia="es-AR"/>
              </w:rPr>
            </w:pPr>
            <w:r w:rsidRPr="00F45A4E">
              <w:rPr>
                <w:sz w:val="20"/>
                <w:szCs w:val="20"/>
                <w:lang w:eastAsia="es-AR"/>
              </w:rPr>
              <w:t>10.58377</w:t>
            </w:r>
          </w:p>
        </w:tc>
        <w:tc>
          <w:tcPr>
            <w:tcW w:w="1276" w:type="dxa"/>
            <w:noWrap/>
            <w:hideMark/>
          </w:tcPr>
          <w:p w14:paraId="05D2BE52" w14:textId="77777777" w:rsidR="00C41769" w:rsidRPr="00F45A4E" w:rsidRDefault="00C41769" w:rsidP="00557280">
            <w:pPr>
              <w:jc w:val="center"/>
              <w:rPr>
                <w:sz w:val="20"/>
                <w:szCs w:val="20"/>
                <w:lang w:eastAsia="es-AR"/>
              </w:rPr>
            </w:pPr>
            <w:r w:rsidRPr="00F45A4E">
              <w:rPr>
                <w:sz w:val="20"/>
                <w:szCs w:val="20"/>
                <w:lang w:eastAsia="es-AR"/>
              </w:rPr>
              <w:t>58,466</w:t>
            </w:r>
          </w:p>
        </w:tc>
        <w:tc>
          <w:tcPr>
            <w:tcW w:w="1134" w:type="dxa"/>
            <w:noWrap/>
            <w:hideMark/>
          </w:tcPr>
          <w:p w14:paraId="00DBF735" w14:textId="77777777" w:rsidR="00C41769" w:rsidRPr="00F45A4E" w:rsidRDefault="00C41769" w:rsidP="00557280">
            <w:pPr>
              <w:jc w:val="center"/>
              <w:rPr>
                <w:sz w:val="20"/>
                <w:szCs w:val="20"/>
                <w:lang w:eastAsia="es-AR"/>
              </w:rPr>
            </w:pPr>
            <w:r w:rsidRPr="00F45A4E">
              <w:rPr>
                <w:sz w:val="20"/>
                <w:szCs w:val="20"/>
                <w:lang w:eastAsia="es-AR"/>
              </w:rPr>
              <w:t>10.13618</w:t>
            </w:r>
          </w:p>
        </w:tc>
        <w:tc>
          <w:tcPr>
            <w:tcW w:w="1192" w:type="dxa"/>
            <w:noWrap/>
            <w:hideMark/>
          </w:tcPr>
          <w:p w14:paraId="11A74E33" w14:textId="77777777" w:rsidR="00C41769" w:rsidRPr="00F45A4E" w:rsidRDefault="00C41769" w:rsidP="00557280">
            <w:pPr>
              <w:jc w:val="center"/>
              <w:rPr>
                <w:sz w:val="20"/>
                <w:szCs w:val="20"/>
                <w:lang w:eastAsia="es-AR"/>
              </w:rPr>
            </w:pPr>
            <w:r w:rsidRPr="00F45A4E">
              <w:rPr>
                <w:sz w:val="20"/>
                <w:szCs w:val="20"/>
                <w:lang w:eastAsia="es-AR"/>
              </w:rPr>
              <w:t>36,077</w:t>
            </w:r>
          </w:p>
        </w:tc>
        <w:tc>
          <w:tcPr>
            <w:tcW w:w="1200" w:type="dxa"/>
            <w:noWrap/>
            <w:hideMark/>
          </w:tcPr>
          <w:p w14:paraId="5A6FB8DE" w14:textId="77777777" w:rsidR="00C41769" w:rsidRPr="00F45A4E" w:rsidRDefault="00C41769" w:rsidP="00557280">
            <w:pPr>
              <w:jc w:val="center"/>
              <w:rPr>
                <w:sz w:val="20"/>
                <w:szCs w:val="20"/>
                <w:lang w:eastAsia="es-AR"/>
              </w:rPr>
            </w:pPr>
            <w:r w:rsidRPr="00F45A4E">
              <w:rPr>
                <w:sz w:val="20"/>
                <w:szCs w:val="20"/>
                <w:lang w:eastAsia="es-AR"/>
              </w:rPr>
              <w:t>0.578869</w:t>
            </w:r>
          </w:p>
        </w:tc>
      </w:tr>
      <w:tr w:rsidR="00C41769" w:rsidRPr="00F45A4E" w14:paraId="05646B62" w14:textId="77777777" w:rsidTr="00557280">
        <w:trPr>
          <w:trHeight w:val="300"/>
        </w:trPr>
        <w:tc>
          <w:tcPr>
            <w:tcW w:w="1985" w:type="dxa"/>
            <w:noWrap/>
            <w:hideMark/>
          </w:tcPr>
          <w:p w14:paraId="1A551EFE" w14:textId="77777777" w:rsidR="00C41769" w:rsidRPr="00F81EA3" w:rsidRDefault="00C41769" w:rsidP="00557280">
            <w:pPr>
              <w:jc w:val="left"/>
              <w:rPr>
                <w:b/>
                <w:sz w:val="20"/>
                <w:szCs w:val="20"/>
                <w:lang w:eastAsia="es-AR"/>
              </w:rPr>
            </w:pPr>
            <w:r w:rsidRPr="00F81EA3">
              <w:rPr>
                <w:b/>
                <w:sz w:val="20"/>
                <w:szCs w:val="20"/>
                <w:lang w:eastAsia="es-AR"/>
              </w:rPr>
              <w:t>Total</w:t>
            </w:r>
          </w:p>
        </w:tc>
        <w:tc>
          <w:tcPr>
            <w:tcW w:w="709" w:type="dxa"/>
            <w:noWrap/>
            <w:hideMark/>
          </w:tcPr>
          <w:p w14:paraId="4E92C52C" w14:textId="77777777" w:rsidR="00C41769" w:rsidRPr="00F81EA3" w:rsidRDefault="00C41769" w:rsidP="00557280">
            <w:pPr>
              <w:jc w:val="center"/>
              <w:rPr>
                <w:b/>
                <w:sz w:val="20"/>
                <w:szCs w:val="20"/>
                <w:lang w:eastAsia="es-AR"/>
              </w:rPr>
            </w:pPr>
            <w:r w:rsidRPr="00F81EA3">
              <w:rPr>
                <w:b/>
                <w:sz w:val="20"/>
                <w:szCs w:val="20"/>
                <w:lang w:eastAsia="es-AR"/>
              </w:rPr>
              <w:t>1,416</w:t>
            </w:r>
          </w:p>
        </w:tc>
        <w:tc>
          <w:tcPr>
            <w:tcW w:w="1134" w:type="dxa"/>
            <w:noWrap/>
            <w:hideMark/>
          </w:tcPr>
          <w:p w14:paraId="6FA30D16" w14:textId="77777777" w:rsidR="00C41769" w:rsidRPr="00F81EA3" w:rsidRDefault="00C41769" w:rsidP="00557280">
            <w:pPr>
              <w:jc w:val="center"/>
              <w:rPr>
                <w:b/>
                <w:sz w:val="20"/>
                <w:szCs w:val="20"/>
                <w:lang w:eastAsia="es-AR"/>
              </w:rPr>
            </w:pPr>
            <w:r w:rsidRPr="00F81EA3">
              <w:rPr>
                <w:b/>
                <w:sz w:val="20"/>
                <w:szCs w:val="20"/>
                <w:lang w:eastAsia="es-AR"/>
              </w:rPr>
              <w:t>57</w:t>
            </w:r>
          </w:p>
        </w:tc>
        <w:tc>
          <w:tcPr>
            <w:tcW w:w="1276" w:type="dxa"/>
            <w:noWrap/>
            <w:hideMark/>
          </w:tcPr>
          <w:p w14:paraId="5D39F89B" w14:textId="77777777" w:rsidR="00C41769" w:rsidRPr="00F81EA3" w:rsidRDefault="00C41769" w:rsidP="00557280">
            <w:pPr>
              <w:jc w:val="center"/>
              <w:rPr>
                <w:b/>
                <w:sz w:val="20"/>
                <w:szCs w:val="20"/>
                <w:lang w:eastAsia="es-AR"/>
              </w:rPr>
            </w:pPr>
            <w:r w:rsidRPr="00F81EA3">
              <w:rPr>
                <w:b/>
                <w:sz w:val="20"/>
                <w:szCs w:val="20"/>
                <w:lang w:eastAsia="es-AR"/>
              </w:rPr>
              <w:t>10.58700</w:t>
            </w:r>
          </w:p>
        </w:tc>
        <w:tc>
          <w:tcPr>
            <w:tcW w:w="1276" w:type="dxa"/>
            <w:noWrap/>
            <w:hideMark/>
          </w:tcPr>
          <w:p w14:paraId="140336A4" w14:textId="77777777" w:rsidR="00C41769" w:rsidRPr="00F81EA3" w:rsidRDefault="00C41769" w:rsidP="00557280">
            <w:pPr>
              <w:jc w:val="center"/>
              <w:rPr>
                <w:b/>
                <w:sz w:val="20"/>
                <w:szCs w:val="20"/>
                <w:lang w:eastAsia="es-AR"/>
              </w:rPr>
            </w:pPr>
            <w:r w:rsidRPr="00F81EA3">
              <w:rPr>
                <w:b/>
                <w:sz w:val="20"/>
                <w:szCs w:val="20"/>
                <w:lang w:eastAsia="es-AR"/>
              </w:rPr>
              <w:t>57,101</w:t>
            </w:r>
          </w:p>
        </w:tc>
        <w:tc>
          <w:tcPr>
            <w:tcW w:w="1134" w:type="dxa"/>
            <w:noWrap/>
            <w:hideMark/>
          </w:tcPr>
          <w:p w14:paraId="5A53ED5F" w14:textId="77777777" w:rsidR="00C41769" w:rsidRPr="00F81EA3" w:rsidRDefault="00C41769" w:rsidP="00557280">
            <w:pPr>
              <w:jc w:val="center"/>
              <w:rPr>
                <w:b/>
                <w:sz w:val="20"/>
                <w:szCs w:val="20"/>
                <w:lang w:eastAsia="es-AR"/>
              </w:rPr>
            </w:pPr>
            <w:r w:rsidRPr="00F81EA3">
              <w:rPr>
                <w:b/>
                <w:sz w:val="20"/>
                <w:szCs w:val="20"/>
                <w:lang w:eastAsia="es-AR"/>
              </w:rPr>
              <w:t>10.1523</w:t>
            </w:r>
          </w:p>
        </w:tc>
        <w:tc>
          <w:tcPr>
            <w:tcW w:w="1192" w:type="dxa"/>
            <w:noWrap/>
            <w:hideMark/>
          </w:tcPr>
          <w:p w14:paraId="60C62D67" w14:textId="77777777" w:rsidR="00C41769" w:rsidRPr="00F81EA3" w:rsidRDefault="00C41769" w:rsidP="00557280">
            <w:pPr>
              <w:jc w:val="center"/>
              <w:rPr>
                <w:b/>
                <w:sz w:val="20"/>
                <w:szCs w:val="20"/>
                <w:lang w:eastAsia="es-AR"/>
              </w:rPr>
            </w:pPr>
            <w:r w:rsidRPr="00F81EA3">
              <w:rPr>
                <w:b/>
                <w:sz w:val="20"/>
                <w:szCs w:val="20"/>
                <w:lang w:eastAsia="es-AR"/>
              </w:rPr>
              <w:t>36,146</w:t>
            </w:r>
          </w:p>
        </w:tc>
        <w:tc>
          <w:tcPr>
            <w:tcW w:w="1200" w:type="dxa"/>
            <w:noWrap/>
            <w:hideMark/>
          </w:tcPr>
          <w:p w14:paraId="2DC8A4BB" w14:textId="77777777" w:rsidR="00C41769" w:rsidRPr="00F81EA3" w:rsidRDefault="00C41769" w:rsidP="00557280">
            <w:pPr>
              <w:jc w:val="center"/>
              <w:rPr>
                <w:b/>
                <w:sz w:val="20"/>
                <w:szCs w:val="20"/>
                <w:lang w:eastAsia="es-AR"/>
              </w:rPr>
            </w:pPr>
            <w:r w:rsidRPr="00F81EA3">
              <w:rPr>
                <w:b/>
                <w:sz w:val="20"/>
                <w:szCs w:val="20"/>
                <w:lang w:eastAsia="es-AR"/>
              </w:rPr>
              <w:t>0.61119</w:t>
            </w:r>
          </w:p>
        </w:tc>
      </w:tr>
      <w:tr w:rsidR="00C41769" w:rsidRPr="00F45A4E" w14:paraId="27220778" w14:textId="77777777" w:rsidTr="00557280">
        <w:trPr>
          <w:trHeight w:val="300"/>
        </w:trPr>
        <w:tc>
          <w:tcPr>
            <w:tcW w:w="1985" w:type="dxa"/>
            <w:noWrap/>
            <w:hideMark/>
          </w:tcPr>
          <w:p w14:paraId="78785315" w14:textId="77777777" w:rsidR="00C41769" w:rsidRPr="00F45A4E" w:rsidRDefault="00C41769" w:rsidP="00557280">
            <w:pPr>
              <w:jc w:val="left"/>
              <w:rPr>
                <w:sz w:val="20"/>
                <w:szCs w:val="20"/>
                <w:lang w:eastAsia="es-AR"/>
              </w:rPr>
            </w:pPr>
            <w:r w:rsidRPr="00F45A4E">
              <w:rPr>
                <w:sz w:val="20"/>
                <w:szCs w:val="20"/>
                <w:lang w:eastAsia="es-AR"/>
              </w:rPr>
              <w:t xml:space="preserve">Δ </w:t>
            </w:r>
            <w:proofErr w:type="spellStart"/>
            <w:r w:rsidRPr="00F45A4E">
              <w:rPr>
                <w:sz w:val="20"/>
                <w:szCs w:val="20"/>
                <w:lang w:eastAsia="es-AR"/>
              </w:rPr>
              <w:t>Wages</w:t>
            </w:r>
            <w:proofErr w:type="spellEnd"/>
            <w:r w:rsidRPr="00F45A4E">
              <w:rPr>
                <w:sz w:val="20"/>
                <w:szCs w:val="20"/>
                <w:lang w:eastAsia="es-AR"/>
              </w:rPr>
              <w:t xml:space="preserve"> </w:t>
            </w:r>
            <w:proofErr w:type="spellStart"/>
            <w:r w:rsidRPr="00F45A4E">
              <w:rPr>
                <w:sz w:val="20"/>
                <w:szCs w:val="20"/>
                <w:lang w:eastAsia="es-AR"/>
              </w:rPr>
              <w:t>below</w:t>
            </w:r>
            <w:proofErr w:type="spellEnd"/>
            <w:r w:rsidRPr="00F45A4E">
              <w:rPr>
                <w:sz w:val="20"/>
                <w:szCs w:val="20"/>
                <w:lang w:eastAsia="es-AR"/>
              </w:rPr>
              <w:t xml:space="preserve"> </w:t>
            </w:r>
            <w:proofErr w:type="spellStart"/>
            <w:r w:rsidRPr="00F45A4E">
              <w:rPr>
                <w:sz w:val="20"/>
                <w:szCs w:val="20"/>
                <w:lang w:eastAsia="es-AR"/>
              </w:rPr>
              <w:t>average</w:t>
            </w:r>
            <w:proofErr w:type="spellEnd"/>
          </w:p>
        </w:tc>
        <w:tc>
          <w:tcPr>
            <w:tcW w:w="709" w:type="dxa"/>
            <w:noWrap/>
            <w:hideMark/>
          </w:tcPr>
          <w:p w14:paraId="3B184D95" w14:textId="77777777" w:rsidR="00C41769" w:rsidRPr="00F45A4E" w:rsidRDefault="00C41769" w:rsidP="00557280">
            <w:pPr>
              <w:jc w:val="center"/>
              <w:rPr>
                <w:sz w:val="20"/>
                <w:szCs w:val="20"/>
                <w:lang w:eastAsia="es-AR"/>
              </w:rPr>
            </w:pPr>
            <w:r w:rsidRPr="00F45A4E">
              <w:rPr>
                <w:sz w:val="20"/>
                <w:szCs w:val="20"/>
                <w:lang w:eastAsia="es-AR"/>
              </w:rPr>
              <w:t>1,185</w:t>
            </w:r>
          </w:p>
        </w:tc>
        <w:tc>
          <w:tcPr>
            <w:tcW w:w="1134" w:type="dxa"/>
            <w:noWrap/>
            <w:hideMark/>
          </w:tcPr>
          <w:p w14:paraId="2E6517D5" w14:textId="77777777" w:rsidR="00C41769" w:rsidRPr="00F45A4E" w:rsidRDefault="00C41769" w:rsidP="00557280">
            <w:pPr>
              <w:jc w:val="center"/>
              <w:rPr>
                <w:sz w:val="20"/>
                <w:szCs w:val="20"/>
                <w:lang w:eastAsia="es-AR"/>
              </w:rPr>
            </w:pPr>
            <w:r>
              <w:rPr>
                <w:sz w:val="20"/>
                <w:szCs w:val="20"/>
                <w:lang w:eastAsia="es-AR"/>
              </w:rPr>
              <w:t>56</w:t>
            </w:r>
          </w:p>
        </w:tc>
        <w:tc>
          <w:tcPr>
            <w:tcW w:w="1276" w:type="dxa"/>
            <w:noWrap/>
            <w:hideMark/>
          </w:tcPr>
          <w:p w14:paraId="775023E3" w14:textId="77777777" w:rsidR="00C41769" w:rsidRPr="00F45A4E" w:rsidRDefault="00C41769" w:rsidP="00557280">
            <w:pPr>
              <w:jc w:val="center"/>
              <w:rPr>
                <w:sz w:val="20"/>
                <w:szCs w:val="20"/>
                <w:lang w:eastAsia="es-AR"/>
              </w:rPr>
            </w:pPr>
            <w:r w:rsidRPr="00F45A4E">
              <w:rPr>
                <w:sz w:val="20"/>
                <w:szCs w:val="20"/>
                <w:lang w:eastAsia="es-AR"/>
              </w:rPr>
              <w:t>10.61503</w:t>
            </w:r>
          </w:p>
        </w:tc>
        <w:tc>
          <w:tcPr>
            <w:tcW w:w="1276" w:type="dxa"/>
            <w:noWrap/>
            <w:hideMark/>
          </w:tcPr>
          <w:p w14:paraId="587DAFAD" w14:textId="77777777" w:rsidR="00C41769" w:rsidRPr="00F45A4E" w:rsidRDefault="00C41769" w:rsidP="00557280">
            <w:pPr>
              <w:jc w:val="center"/>
              <w:rPr>
                <w:sz w:val="20"/>
                <w:szCs w:val="20"/>
                <w:lang w:eastAsia="es-AR"/>
              </w:rPr>
            </w:pPr>
            <w:r w:rsidRPr="00F45A4E">
              <w:rPr>
                <w:sz w:val="20"/>
                <w:szCs w:val="20"/>
                <w:lang w:eastAsia="es-AR"/>
              </w:rPr>
              <w:t>58</w:t>
            </w:r>
            <w:r>
              <w:rPr>
                <w:sz w:val="20"/>
                <w:szCs w:val="20"/>
                <w:lang w:eastAsia="es-AR"/>
              </w:rPr>
              <w:t>,</w:t>
            </w:r>
            <w:r w:rsidRPr="00F45A4E">
              <w:rPr>
                <w:sz w:val="20"/>
                <w:szCs w:val="20"/>
                <w:lang w:eastAsia="es-AR"/>
              </w:rPr>
              <w:t>67</w:t>
            </w:r>
            <w:r>
              <w:rPr>
                <w:sz w:val="20"/>
                <w:szCs w:val="20"/>
                <w:lang w:eastAsia="es-AR"/>
              </w:rPr>
              <w:t>4</w:t>
            </w:r>
          </w:p>
        </w:tc>
        <w:tc>
          <w:tcPr>
            <w:tcW w:w="1134" w:type="dxa"/>
            <w:noWrap/>
            <w:hideMark/>
          </w:tcPr>
          <w:p w14:paraId="68C9758F" w14:textId="77777777" w:rsidR="00C41769" w:rsidRPr="00F45A4E" w:rsidRDefault="00C41769" w:rsidP="00557280">
            <w:pPr>
              <w:jc w:val="center"/>
              <w:rPr>
                <w:sz w:val="20"/>
                <w:szCs w:val="20"/>
                <w:lang w:eastAsia="es-AR"/>
              </w:rPr>
            </w:pPr>
            <w:r w:rsidRPr="00F45A4E">
              <w:rPr>
                <w:sz w:val="20"/>
                <w:szCs w:val="20"/>
                <w:lang w:eastAsia="es-AR"/>
              </w:rPr>
              <w:t>10.16867</w:t>
            </w:r>
          </w:p>
        </w:tc>
        <w:tc>
          <w:tcPr>
            <w:tcW w:w="1192" w:type="dxa"/>
            <w:noWrap/>
            <w:hideMark/>
          </w:tcPr>
          <w:p w14:paraId="13AFD681" w14:textId="77777777" w:rsidR="00C41769" w:rsidRPr="00F45A4E" w:rsidRDefault="00C41769" w:rsidP="00557280">
            <w:pPr>
              <w:jc w:val="center"/>
              <w:rPr>
                <w:sz w:val="20"/>
                <w:szCs w:val="20"/>
                <w:lang w:eastAsia="es-AR"/>
              </w:rPr>
            </w:pPr>
            <w:r w:rsidRPr="00F45A4E">
              <w:rPr>
                <w:sz w:val="20"/>
                <w:szCs w:val="20"/>
                <w:lang w:eastAsia="es-AR"/>
              </w:rPr>
              <w:t>36</w:t>
            </w:r>
            <w:r>
              <w:rPr>
                <w:sz w:val="20"/>
                <w:szCs w:val="20"/>
                <w:lang w:eastAsia="es-AR"/>
              </w:rPr>
              <w:t>,026</w:t>
            </w:r>
          </w:p>
        </w:tc>
        <w:tc>
          <w:tcPr>
            <w:tcW w:w="1200" w:type="dxa"/>
            <w:noWrap/>
            <w:hideMark/>
          </w:tcPr>
          <w:p w14:paraId="5BC4C763" w14:textId="77777777" w:rsidR="00C41769" w:rsidRPr="00F45A4E" w:rsidRDefault="00C41769" w:rsidP="00557280">
            <w:pPr>
              <w:jc w:val="center"/>
              <w:rPr>
                <w:sz w:val="20"/>
                <w:szCs w:val="20"/>
                <w:lang w:eastAsia="es-AR"/>
              </w:rPr>
            </w:pPr>
            <w:r w:rsidRPr="00F45A4E">
              <w:rPr>
                <w:sz w:val="20"/>
                <w:szCs w:val="20"/>
                <w:lang w:eastAsia="es-AR"/>
              </w:rPr>
              <w:t>0.624683</w:t>
            </w:r>
          </w:p>
        </w:tc>
      </w:tr>
      <w:tr w:rsidR="00C41769" w:rsidRPr="00F45A4E" w14:paraId="6214179B" w14:textId="77777777" w:rsidTr="00557280">
        <w:trPr>
          <w:trHeight w:val="300"/>
        </w:trPr>
        <w:tc>
          <w:tcPr>
            <w:tcW w:w="1985" w:type="dxa"/>
            <w:noWrap/>
            <w:hideMark/>
          </w:tcPr>
          <w:p w14:paraId="5F854CA6" w14:textId="77777777" w:rsidR="00C41769" w:rsidRPr="00F45A4E" w:rsidRDefault="00C41769" w:rsidP="00557280">
            <w:pPr>
              <w:jc w:val="left"/>
              <w:rPr>
                <w:sz w:val="20"/>
                <w:szCs w:val="20"/>
                <w:lang w:eastAsia="es-AR"/>
              </w:rPr>
            </w:pPr>
            <w:r w:rsidRPr="00F45A4E">
              <w:rPr>
                <w:sz w:val="20"/>
                <w:szCs w:val="20"/>
                <w:lang w:eastAsia="es-AR"/>
              </w:rPr>
              <w:t xml:space="preserve">Δ </w:t>
            </w:r>
            <w:proofErr w:type="spellStart"/>
            <w:r w:rsidRPr="00F45A4E">
              <w:rPr>
                <w:sz w:val="20"/>
                <w:szCs w:val="20"/>
                <w:lang w:eastAsia="es-AR"/>
              </w:rPr>
              <w:t>Wages</w:t>
            </w:r>
            <w:proofErr w:type="spellEnd"/>
            <w:r w:rsidRPr="00F45A4E">
              <w:rPr>
                <w:sz w:val="20"/>
                <w:szCs w:val="20"/>
                <w:lang w:eastAsia="es-AR"/>
              </w:rPr>
              <w:t xml:space="preserve"> </w:t>
            </w:r>
            <w:proofErr w:type="spellStart"/>
            <w:r w:rsidRPr="00F45A4E">
              <w:rPr>
                <w:sz w:val="20"/>
                <w:szCs w:val="20"/>
                <w:lang w:eastAsia="es-AR"/>
              </w:rPr>
              <w:t>above</w:t>
            </w:r>
            <w:proofErr w:type="spellEnd"/>
            <w:r w:rsidRPr="00F45A4E">
              <w:rPr>
                <w:sz w:val="20"/>
                <w:szCs w:val="20"/>
                <w:lang w:eastAsia="es-AR"/>
              </w:rPr>
              <w:t xml:space="preserve"> </w:t>
            </w:r>
            <w:proofErr w:type="spellStart"/>
            <w:r w:rsidRPr="00F45A4E">
              <w:rPr>
                <w:sz w:val="20"/>
                <w:szCs w:val="20"/>
                <w:lang w:eastAsia="es-AR"/>
              </w:rPr>
              <w:t>average</w:t>
            </w:r>
            <w:proofErr w:type="spellEnd"/>
          </w:p>
        </w:tc>
        <w:tc>
          <w:tcPr>
            <w:tcW w:w="709" w:type="dxa"/>
            <w:noWrap/>
            <w:hideMark/>
          </w:tcPr>
          <w:p w14:paraId="17DA7624" w14:textId="77777777" w:rsidR="00C41769" w:rsidRPr="00F45A4E" w:rsidRDefault="00C41769" w:rsidP="00557280">
            <w:pPr>
              <w:jc w:val="center"/>
              <w:rPr>
                <w:sz w:val="20"/>
                <w:szCs w:val="20"/>
                <w:lang w:eastAsia="es-AR"/>
              </w:rPr>
            </w:pPr>
            <w:r w:rsidRPr="00F45A4E">
              <w:rPr>
                <w:sz w:val="20"/>
                <w:szCs w:val="20"/>
                <w:lang w:eastAsia="es-AR"/>
              </w:rPr>
              <w:t>196</w:t>
            </w:r>
          </w:p>
        </w:tc>
        <w:tc>
          <w:tcPr>
            <w:tcW w:w="1134" w:type="dxa"/>
            <w:noWrap/>
            <w:hideMark/>
          </w:tcPr>
          <w:p w14:paraId="32F303E4" w14:textId="77777777" w:rsidR="00C41769" w:rsidRPr="00F45A4E" w:rsidRDefault="00C41769" w:rsidP="00557280">
            <w:pPr>
              <w:jc w:val="center"/>
              <w:rPr>
                <w:sz w:val="20"/>
                <w:szCs w:val="20"/>
                <w:lang w:eastAsia="es-AR"/>
              </w:rPr>
            </w:pPr>
            <w:r w:rsidRPr="00F45A4E">
              <w:rPr>
                <w:sz w:val="20"/>
                <w:szCs w:val="20"/>
                <w:lang w:eastAsia="es-AR"/>
              </w:rPr>
              <w:t>62</w:t>
            </w:r>
          </w:p>
        </w:tc>
        <w:tc>
          <w:tcPr>
            <w:tcW w:w="1276" w:type="dxa"/>
            <w:noWrap/>
            <w:hideMark/>
          </w:tcPr>
          <w:p w14:paraId="2FE9203D" w14:textId="77777777" w:rsidR="00C41769" w:rsidRPr="00F45A4E" w:rsidRDefault="00C41769" w:rsidP="00557280">
            <w:pPr>
              <w:jc w:val="center"/>
              <w:rPr>
                <w:sz w:val="20"/>
                <w:szCs w:val="20"/>
                <w:lang w:eastAsia="es-AR"/>
              </w:rPr>
            </w:pPr>
            <w:r w:rsidRPr="00F45A4E">
              <w:rPr>
                <w:sz w:val="20"/>
                <w:szCs w:val="20"/>
                <w:lang w:eastAsia="es-AR"/>
              </w:rPr>
              <w:t>10.41016</w:t>
            </w:r>
          </w:p>
        </w:tc>
        <w:tc>
          <w:tcPr>
            <w:tcW w:w="1276" w:type="dxa"/>
            <w:noWrap/>
            <w:hideMark/>
          </w:tcPr>
          <w:p w14:paraId="1D8698E8" w14:textId="77777777" w:rsidR="00C41769" w:rsidRPr="00F45A4E" w:rsidRDefault="00C41769" w:rsidP="00557280">
            <w:pPr>
              <w:jc w:val="center"/>
              <w:rPr>
                <w:sz w:val="20"/>
                <w:szCs w:val="20"/>
                <w:lang w:eastAsia="es-AR"/>
              </w:rPr>
            </w:pPr>
            <w:r w:rsidRPr="00F45A4E">
              <w:rPr>
                <w:sz w:val="20"/>
                <w:szCs w:val="20"/>
                <w:lang w:eastAsia="es-AR"/>
              </w:rPr>
              <w:t>45</w:t>
            </w:r>
            <w:r>
              <w:rPr>
                <w:sz w:val="20"/>
                <w:szCs w:val="20"/>
                <w:lang w:eastAsia="es-AR"/>
              </w:rPr>
              <w:t>,852</w:t>
            </w:r>
          </w:p>
        </w:tc>
        <w:tc>
          <w:tcPr>
            <w:tcW w:w="1134" w:type="dxa"/>
            <w:noWrap/>
            <w:hideMark/>
          </w:tcPr>
          <w:p w14:paraId="4FA4C077" w14:textId="77777777" w:rsidR="00C41769" w:rsidRPr="00F45A4E" w:rsidRDefault="00C41769" w:rsidP="00557280">
            <w:pPr>
              <w:jc w:val="center"/>
              <w:rPr>
                <w:sz w:val="20"/>
                <w:szCs w:val="20"/>
                <w:lang w:eastAsia="es-AR"/>
              </w:rPr>
            </w:pPr>
            <w:r w:rsidRPr="00F45A4E">
              <w:rPr>
                <w:sz w:val="20"/>
                <w:szCs w:val="20"/>
                <w:lang w:eastAsia="es-AR"/>
              </w:rPr>
              <w:t>10.05948</w:t>
            </w:r>
          </w:p>
        </w:tc>
        <w:tc>
          <w:tcPr>
            <w:tcW w:w="1192" w:type="dxa"/>
            <w:noWrap/>
            <w:hideMark/>
          </w:tcPr>
          <w:p w14:paraId="7E787A4E" w14:textId="77777777" w:rsidR="00C41769" w:rsidRPr="00F45A4E" w:rsidRDefault="00C41769" w:rsidP="00557280">
            <w:pPr>
              <w:jc w:val="center"/>
              <w:rPr>
                <w:sz w:val="20"/>
                <w:szCs w:val="20"/>
                <w:lang w:eastAsia="es-AR"/>
              </w:rPr>
            </w:pPr>
            <w:r w:rsidRPr="00F45A4E">
              <w:rPr>
                <w:sz w:val="20"/>
                <w:szCs w:val="20"/>
                <w:lang w:eastAsia="es-AR"/>
              </w:rPr>
              <w:t>33</w:t>
            </w:r>
            <w:r>
              <w:rPr>
                <w:sz w:val="20"/>
                <w:szCs w:val="20"/>
                <w:lang w:eastAsia="es-AR"/>
              </w:rPr>
              <w:t>,</w:t>
            </w:r>
            <w:r w:rsidRPr="00F45A4E">
              <w:rPr>
                <w:sz w:val="20"/>
                <w:szCs w:val="20"/>
                <w:lang w:eastAsia="es-AR"/>
              </w:rPr>
              <w:t>29</w:t>
            </w:r>
            <w:r>
              <w:rPr>
                <w:sz w:val="20"/>
                <w:szCs w:val="20"/>
                <w:lang w:eastAsia="es-AR"/>
              </w:rPr>
              <w:t>7</w:t>
            </w:r>
          </w:p>
        </w:tc>
        <w:tc>
          <w:tcPr>
            <w:tcW w:w="1200" w:type="dxa"/>
            <w:noWrap/>
            <w:hideMark/>
          </w:tcPr>
          <w:p w14:paraId="6EF903CF" w14:textId="77777777" w:rsidR="00C41769" w:rsidRPr="00F45A4E" w:rsidRDefault="00C41769" w:rsidP="00557280">
            <w:pPr>
              <w:jc w:val="center"/>
              <w:rPr>
                <w:sz w:val="20"/>
                <w:szCs w:val="20"/>
                <w:lang w:eastAsia="es-AR"/>
              </w:rPr>
            </w:pPr>
            <w:r w:rsidRPr="00F45A4E">
              <w:rPr>
                <w:sz w:val="20"/>
                <w:szCs w:val="20"/>
                <w:lang w:eastAsia="es-AR"/>
              </w:rPr>
              <w:t>0.556701</w:t>
            </w:r>
          </w:p>
        </w:tc>
      </w:tr>
      <w:tr w:rsidR="00C41769" w:rsidRPr="00F45A4E" w14:paraId="18E70237" w14:textId="77777777" w:rsidTr="00557280">
        <w:trPr>
          <w:trHeight w:val="300"/>
        </w:trPr>
        <w:tc>
          <w:tcPr>
            <w:tcW w:w="1985" w:type="dxa"/>
            <w:noWrap/>
            <w:hideMark/>
          </w:tcPr>
          <w:p w14:paraId="37DA7571" w14:textId="77777777" w:rsidR="00C41769" w:rsidRPr="00F81EA3" w:rsidRDefault="00C41769" w:rsidP="00557280">
            <w:pPr>
              <w:jc w:val="left"/>
              <w:rPr>
                <w:b/>
                <w:sz w:val="20"/>
                <w:szCs w:val="20"/>
                <w:lang w:eastAsia="es-AR"/>
              </w:rPr>
            </w:pPr>
            <w:r w:rsidRPr="00F81EA3">
              <w:rPr>
                <w:b/>
                <w:sz w:val="20"/>
                <w:szCs w:val="20"/>
                <w:lang w:eastAsia="es-AR"/>
              </w:rPr>
              <w:t>Total</w:t>
            </w:r>
          </w:p>
        </w:tc>
        <w:tc>
          <w:tcPr>
            <w:tcW w:w="709" w:type="dxa"/>
            <w:noWrap/>
            <w:hideMark/>
          </w:tcPr>
          <w:p w14:paraId="52D84B9D" w14:textId="77777777" w:rsidR="00C41769" w:rsidRPr="00F81EA3" w:rsidRDefault="00C41769" w:rsidP="00557280">
            <w:pPr>
              <w:jc w:val="center"/>
              <w:rPr>
                <w:b/>
                <w:sz w:val="20"/>
                <w:szCs w:val="20"/>
                <w:lang w:eastAsia="es-AR"/>
              </w:rPr>
            </w:pPr>
            <w:r w:rsidRPr="00F81EA3">
              <w:rPr>
                <w:b/>
                <w:sz w:val="20"/>
                <w:szCs w:val="20"/>
                <w:lang w:eastAsia="es-AR"/>
              </w:rPr>
              <w:t>1,381</w:t>
            </w:r>
          </w:p>
        </w:tc>
        <w:tc>
          <w:tcPr>
            <w:tcW w:w="1134" w:type="dxa"/>
            <w:noWrap/>
            <w:hideMark/>
          </w:tcPr>
          <w:p w14:paraId="4ED99E86" w14:textId="77777777" w:rsidR="00C41769" w:rsidRPr="00F81EA3" w:rsidRDefault="00C41769" w:rsidP="00557280">
            <w:pPr>
              <w:jc w:val="center"/>
              <w:rPr>
                <w:b/>
                <w:sz w:val="20"/>
                <w:szCs w:val="20"/>
                <w:lang w:eastAsia="es-AR"/>
              </w:rPr>
            </w:pPr>
            <w:r w:rsidRPr="00F81EA3">
              <w:rPr>
                <w:b/>
                <w:sz w:val="20"/>
                <w:szCs w:val="20"/>
                <w:lang w:eastAsia="es-AR"/>
              </w:rPr>
              <w:t>57</w:t>
            </w:r>
          </w:p>
        </w:tc>
        <w:tc>
          <w:tcPr>
            <w:tcW w:w="1276" w:type="dxa"/>
            <w:noWrap/>
            <w:hideMark/>
          </w:tcPr>
          <w:p w14:paraId="0DA36861" w14:textId="77777777" w:rsidR="00C41769" w:rsidRPr="00F81EA3" w:rsidRDefault="00C41769" w:rsidP="00557280">
            <w:pPr>
              <w:jc w:val="center"/>
              <w:rPr>
                <w:b/>
                <w:sz w:val="20"/>
                <w:szCs w:val="20"/>
                <w:lang w:eastAsia="es-AR"/>
              </w:rPr>
            </w:pPr>
            <w:r w:rsidRPr="00F81EA3">
              <w:rPr>
                <w:b/>
                <w:sz w:val="20"/>
                <w:szCs w:val="20"/>
                <w:lang w:eastAsia="es-AR"/>
              </w:rPr>
              <w:t>10.58595</w:t>
            </w:r>
          </w:p>
        </w:tc>
        <w:tc>
          <w:tcPr>
            <w:tcW w:w="1276" w:type="dxa"/>
            <w:noWrap/>
            <w:hideMark/>
          </w:tcPr>
          <w:p w14:paraId="50E801B7" w14:textId="77777777" w:rsidR="00C41769" w:rsidRPr="00F81EA3" w:rsidRDefault="00C41769" w:rsidP="00557280">
            <w:pPr>
              <w:jc w:val="center"/>
              <w:rPr>
                <w:b/>
                <w:sz w:val="20"/>
                <w:szCs w:val="20"/>
                <w:lang w:eastAsia="es-AR"/>
              </w:rPr>
            </w:pPr>
            <w:r w:rsidRPr="00F81EA3">
              <w:rPr>
                <w:b/>
                <w:sz w:val="20"/>
                <w:szCs w:val="20"/>
                <w:lang w:eastAsia="es-AR"/>
              </w:rPr>
              <w:t>56,854</w:t>
            </w:r>
          </w:p>
        </w:tc>
        <w:tc>
          <w:tcPr>
            <w:tcW w:w="1134" w:type="dxa"/>
            <w:noWrap/>
            <w:hideMark/>
          </w:tcPr>
          <w:p w14:paraId="6F96B753" w14:textId="77777777" w:rsidR="00C41769" w:rsidRPr="00F81EA3" w:rsidRDefault="00C41769" w:rsidP="00557280">
            <w:pPr>
              <w:jc w:val="center"/>
              <w:rPr>
                <w:b/>
                <w:sz w:val="20"/>
                <w:szCs w:val="20"/>
                <w:lang w:eastAsia="es-AR"/>
              </w:rPr>
            </w:pPr>
            <w:r w:rsidRPr="00F81EA3">
              <w:rPr>
                <w:b/>
                <w:sz w:val="20"/>
                <w:szCs w:val="20"/>
                <w:lang w:eastAsia="es-AR"/>
              </w:rPr>
              <w:t>10.15306</w:t>
            </w:r>
          </w:p>
        </w:tc>
        <w:tc>
          <w:tcPr>
            <w:tcW w:w="1192" w:type="dxa"/>
            <w:noWrap/>
            <w:hideMark/>
          </w:tcPr>
          <w:p w14:paraId="0403CFEF" w14:textId="77777777" w:rsidR="00C41769" w:rsidRPr="00F81EA3" w:rsidRDefault="00C41769" w:rsidP="00557280">
            <w:pPr>
              <w:jc w:val="center"/>
              <w:rPr>
                <w:b/>
                <w:sz w:val="20"/>
                <w:szCs w:val="20"/>
                <w:lang w:eastAsia="es-AR"/>
              </w:rPr>
            </w:pPr>
            <w:r w:rsidRPr="00F81EA3">
              <w:rPr>
                <w:b/>
                <w:sz w:val="20"/>
                <w:szCs w:val="20"/>
                <w:lang w:eastAsia="es-AR"/>
              </w:rPr>
              <w:t>35,639</w:t>
            </w:r>
          </w:p>
        </w:tc>
        <w:tc>
          <w:tcPr>
            <w:tcW w:w="1200" w:type="dxa"/>
            <w:noWrap/>
            <w:hideMark/>
          </w:tcPr>
          <w:p w14:paraId="214CC324" w14:textId="77777777" w:rsidR="00C41769" w:rsidRPr="00F81EA3" w:rsidRDefault="00C41769" w:rsidP="00557280">
            <w:pPr>
              <w:jc w:val="center"/>
              <w:rPr>
                <w:b/>
                <w:sz w:val="20"/>
                <w:szCs w:val="20"/>
                <w:lang w:eastAsia="es-AR"/>
              </w:rPr>
            </w:pPr>
            <w:r w:rsidRPr="00F81EA3">
              <w:rPr>
                <w:b/>
                <w:sz w:val="20"/>
                <w:szCs w:val="20"/>
                <w:lang w:eastAsia="es-AR"/>
              </w:rPr>
              <w:t>0.615105</w:t>
            </w:r>
          </w:p>
        </w:tc>
      </w:tr>
    </w:tbl>
    <w:p w14:paraId="714CAC0E" w14:textId="77777777" w:rsidR="00C41769" w:rsidRPr="007E524A" w:rsidRDefault="00C41769" w:rsidP="00C41769">
      <w:pPr>
        <w:spacing w:after="0"/>
        <w:rPr>
          <w:sz w:val="22"/>
          <w:lang w:val="en-US"/>
        </w:rPr>
      </w:pPr>
      <w:r w:rsidRPr="007E524A">
        <w:rPr>
          <w:sz w:val="22"/>
          <w:lang w:val="en-US"/>
        </w:rPr>
        <w:t>Note: There are less observations in distributions by results of collective bargain due to missing data for some branches in textiles and medical services.</w:t>
      </w:r>
    </w:p>
    <w:p w14:paraId="25717825" w14:textId="647EF31C" w:rsidR="00C41769" w:rsidRPr="007E524A" w:rsidRDefault="00C41769" w:rsidP="00C41769">
      <w:pPr>
        <w:spacing w:after="0"/>
        <w:rPr>
          <w:sz w:val="22"/>
          <w:lang w:val="en-US"/>
        </w:rPr>
      </w:pPr>
      <w:r w:rsidRPr="007E524A">
        <w:rPr>
          <w:sz w:val="22"/>
          <w:lang w:val="en-US"/>
        </w:rPr>
        <w:t>Source: Ow</w:t>
      </w:r>
      <w:r>
        <w:rPr>
          <w:sz w:val="22"/>
          <w:lang w:val="en-US"/>
        </w:rPr>
        <w:t xml:space="preserve">n elaboration base on </w:t>
      </w:r>
      <w:proofErr w:type="spellStart"/>
      <w:r>
        <w:rPr>
          <w:sz w:val="22"/>
          <w:lang w:val="en-US"/>
        </w:rPr>
        <w:t>Mapa</w:t>
      </w:r>
      <w:proofErr w:type="spellEnd"/>
      <w:r>
        <w:rPr>
          <w:sz w:val="22"/>
          <w:lang w:val="en-US"/>
        </w:rPr>
        <w:t xml:space="preserve"> </w:t>
      </w:r>
      <w:proofErr w:type="spellStart"/>
      <w:r>
        <w:rPr>
          <w:sz w:val="22"/>
          <w:lang w:val="en-US"/>
        </w:rPr>
        <w:t>Pyme</w:t>
      </w:r>
      <w:proofErr w:type="spellEnd"/>
      <w:r>
        <w:rPr>
          <w:sz w:val="22"/>
          <w:lang w:val="en-US"/>
        </w:rPr>
        <w:t xml:space="preserve"> and Ministry of Labor and Social Security</w:t>
      </w:r>
      <w:r w:rsidR="008A5F8D">
        <w:rPr>
          <w:sz w:val="22"/>
          <w:lang w:val="en-US"/>
        </w:rPr>
        <w:t>.</w:t>
      </w:r>
    </w:p>
    <w:p w14:paraId="5A773E3F" w14:textId="217A7083" w:rsidR="00C41769" w:rsidRDefault="00C41769" w:rsidP="00C41769">
      <w:pPr>
        <w:spacing w:before="240"/>
        <w:rPr>
          <w:szCs w:val="24"/>
          <w:lang w:val="en-US"/>
        </w:rPr>
      </w:pPr>
      <w:r>
        <w:rPr>
          <w:szCs w:val="24"/>
          <w:lang w:val="en-US"/>
        </w:rPr>
        <w:t xml:space="preserve">Tables 3 and 4 summarize the main results of the econometric exercise. In table 3 mean differences of training activities impact on productivity and wages </w:t>
      </w:r>
      <w:r w:rsidR="00557850">
        <w:rPr>
          <w:szCs w:val="24"/>
          <w:lang w:val="en-US"/>
        </w:rPr>
        <w:t>are</w:t>
      </w:r>
      <w:r>
        <w:rPr>
          <w:szCs w:val="24"/>
          <w:lang w:val="en-US"/>
        </w:rPr>
        <w:t xml:space="preserve"> presented. The number of treated firms (firms that have conducted training activities), the number of control firms (firms that have not conducted training activities), and t-student value for establishing the statistical significance is also displayed in the referred table. Table 4 presents the</w:t>
      </w:r>
      <w:r w:rsidR="0079431B">
        <w:rPr>
          <w:szCs w:val="24"/>
          <w:lang w:val="en-US"/>
        </w:rPr>
        <w:t xml:space="preserve"> regressions</w:t>
      </w:r>
      <w:r>
        <w:rPr>
          <w:szCs w:val="24"/>
          <w:lang w:val="en-US"/>
        </w:rPr>
        <w:t xml:space="preserve"> run on productivity and wage logs</w:t>
      </w:r>
      <w:r w:rsidR="0097546F">
        <w:rPr>
          <w:szCs w:val="24"/>
          <w:lang w:val="en-US"/>
        </w:rPr>
        <w:t xml:space="preserve"> following the doubly</w:t>
      </w:r>
      <w:r w:rsidR="00893C03">
        <w:rPr>
          <w:szCs w:val="24"/>
          <w:lang w:val="en-US"/>
        </w:rPr>
        <w:t>-</w:t>
      </w:r>
      <w:r w:rsidR="0097546F">
        <w:rPr>
          <w:szCs w:val="24"/>
          <w:lang w:val="en-US"/>
        </w:rPr>
        <w:t>robust estimato</w:t>
      </w:r>
      <w:r w:rsidR="00893C03">
        <w:rPr>
          <w:szCs w:val="24"/>
          <w:lang w:val="en-US"/>
        </w:rPr>
        <w:t>rs</w:t>
      </w:r>
      <w:r>
        <w:rPr>
          <w:szCs w:val="24"/>
          <w:lang w:val="en-US"/>
        </w:rPr>
        <w:t xml:space="preserve">. Training is our variable of interest and innovation, </w:t>
      </w:r>
      <w:r w:rsidR="0079431B">
        <w:rPr>
          <w:szCs w:val="24"/>
          <w:lang w:val="en-US"/>
        </w:rPr>
        <w:t>average annual rate of growth of employment and wage during 2003-2007</w:t>
      </w:r>
      <w:r>
        <w:rPr>
          <w:szCs w:val="24"/>
          <w:lang w:val="en-US"/>
        </w:rPr>
        <w:t xml:space="preserve"> and age are control variables. Also the models include 1</w:t>
      </w:r>
      <w:r w:rsidR="00EC05E1">
        <w:rPr>
          <w:szCs w:val="24"/>
          <w:lang w:val="en-US"/>
        </w:rPr>
        <w:t>7</w:t>
      </w:r>
      <w:r>
        <w:rPr>
          <w:szCs w:val="24"/>
          <w:lang w:val="en-US"/>
        </w:rPr>
        <w:t xml:space="preserve"> </w:t>
      </w:r>
      <w:proofErr w:type="spellStart"/>
      <w:r>
        <w:rPr>
          <w:szCs w:val="24"/>
          <w:lang w:val="en-US"/>
        </w:rPr>
        <w:t>sectoral</w:t>
      </w:r>
      <w:proofErr w:type="spellEnd"/>
      <w:r>
        <w:rPr>
          <w:szCs w:val="24"/>
          <w:lang w:val="en-US"/>
        </w:rPr>
        <w:t xml:space="preserve"> dummies that are not display due to space reasons.  </w:t>
      </w:r>
    </w:p>
    <w:p w14:paraId="2B9BEAF4" w14:textId="1A57E2D3" w:rsidR="00C41769" w:rsidRDefault="00C41769" w:rsidP="00C41769">
      <w:pPr>
        <w:spacing w:before="240"/>
        <w:rPr>
          <w:szCs w:val="24"/>
          <w:lang w:val="en-US"/>
        </w:rPr>
      </w:pPr>
      <w:r>
        <w:rPr>
          <w:szCs w:val="24"/>
          <w:lang w:val="en-US"/>
        </w:rPr>
        <w:t>The first row of table 3 shows that firms that have conduced training activities have productivity levels 27% higher and paid wages 1</w:t>
      </w:r>
      <w:r w:rsidR="006450FE">
        <w:rPr>
          <w:szCs w:val="24"/>
          <w:lang w:val="en-US"/>
        </w:rPr>
        <w:t>9</w:t>
      </w:r>
      <w:r>
        <w:rPr>
          <w:szCs w:val="24"/>
          <w:lang w:val="en-US"/>
        </w:rPr>
        <w:t xml:space="preserve">% higher than those that have not performed any training. This means that firms that train their employees have better productive performance and pay better salaries. However, the gap between the impact of training in productivity and wages means that firms do not translate completely into wages the productivity gains derived from training. Summing up, this first row of table 3 offers statistical evidence to support hypothesis 1. At the </w:t>
      </w:r>
      <w:r>
        <w:rPr>
          <w:szCs w:val="24"/>
          <w:lang w:val="en-US"/>
        </w:rPr>
        <w:lastRenderedPageBreak/>
        <w:t>first two columns of table 4 there is similar information coming from the</w:t>
      </w:r>
      <w:r w:rsidR="007A5CFB">
        <w:rPr>
          <w:szCs w:val="24"/>
          <w:lang w:val="en-US"/>
        </w:rPr>
        <w:t xml:space="preserve"> OLS</w:t>
      </w:r>
      <w:r>
        <w:rPr>
          <w:szCs w:val="24"/>
          <w:lang w:val="en-US"/>
        </w:rPr>
        <w:t xml:space="preserve"> estimation on productivity levels and wages. In this case, although the gap is smaller, it persists.</w:t>
      </w:r>
    </w:p>
    <w:p w14:paraId="179153FB" w14:textId="68F27959" w:rsidR="00C41769" w:rsidRDefault="00C41769" w:rsidP="00C41769">
      <w:pPr>
        <w:spacing w:before="240"/>
        <w:rPr>
          <w:szCs w:val="24"/>
          <w:lang w:val="en-US"/>
        </w:rPr>
      </w:pPr>
      <w:r>
        <w:rPr>
          <w:szCs w:val="24"/>
          <w:lang w:val="en-US"/>
        </w:rPr>
        <w:t xml:space="preserve">The second and third rows of table 3 as well as columns 3 to 6 of table 4 provide information regarding hypothesis 2. The tendency of treated firms to reach higher productivity and wage levels remains. Nevertheless, the gap between impacts on productivity and wages decreases when moving from low-tech to medium and high-tech sectors. More precisely, the gap reduces form </w:t>
      </w:r>
      <w:r w:rsidR="009E40B7">
        <w:rPr>
          <w:szCs w:val="24"/>
          <w:lang w:val="en-US"/>
        </w:rPr>
        <w:t xml:space="preserve">15 </w:t>
      </w:r>
      <w:r>
        <w:rPr>
          <w:szCs w:val="24"/>
          <w:lang w:val="en-US"/>
        </w:rPr>
        <w:t xml:space="preserve">to </w:t>
      </w:r>
      <w:r w:rsidR="009E40B7">
        <w:rPr>
          <w:szCs w:val="24"/>
          <w:lang w:val="en-US"/>
        </w:rPr>
        <w:t xml:space="preserve">2 </w:t>
      </w:r>
      <w:r>
        <w:rPr>
          <w:szCs w:val="24"/>
          <w:lang w:val="en-US"/>
        </w:rPr>
        <w:t xml:space="preserve">percentage points. </w:t>
      </w:r>
      <w:r w:rsidR="001C589F">
        <w:rPr>
          <w:szCs w:val="24"/>
          <w:lang w:val="en-US"/>
        </w:rPr>
        <w:t>Thus, e</w:t>
      </w:r>
      <w:r w:rsidR="00A77AB6">
        <w:rPr>
          <w:szCs w:val="24"/>
          <w:lang w:val="en-US"/>
        </w:rPr>
        <w:t>vidence</w:t>
      </w:r>
      <w:r>
        <w:rPr>
          <w:szCs w:val="24"/>
          <w:lang w:val="en-US"/>
        </w:rPr>
        <w:t xml:space="preserve"> support</w:t>
      </w:r>
      <w:r w:rsidR="001C589F">
        <w:rPr>
          <w:szCs w:val="24"/>
          <w:lang w:val="en-US"/>
        </w:rPr>
        <w:t>s</w:t>
      </w:r>
      <w:r>
        <w:rPr>
          <w:szCs w:val="24"/>
          <w:lang w:val="en-US"/>
        </w:rPr>
        <w:t xml:space="preserve"> hypothesis 2</w:t>
      </w:r>
      <w:r w:rsidR="001C589F">
        <w:rPr>
          <w:szCs w:val="24"/>
          <w:lang w:val="en-US"/>
        </w:rPr>
        <w:t>.</w:t>
      </w:r>
      <w:r>
        <w:rPr>
          <w:szCs w:val="24"/>
          <w:lang w:val="en-US"/>
        </w:rPr>
        <w:t xml:space="preserve"> This gap reduction can also be seen when the coefficient of training in columns 3 and 4 are compared with the same coefficients in columns 5 and 6. In this case, the gap reduction drops from </w:t>
      </w:r>
      <w:r w:rsidR="009E40B7">
        <w:rPr>
          <w:szCs w:val="24"/>
          <w:lang w:val="en-US"/>
        </w:rPr>
        <w:t xml:space="preserve">12 </w:t>
      </w:r>
      <w:r>
        <w:rPr>
          <w:szCs w:val="24"/>
          <w:lang w:val="en-US"/>
        </w:rPr>
        <w:t xml:space="preserve">to </w:t>
      </w:r>
      <w:r w:rsidR="009E40B7">
        <w:rPr>
          <w:szCs w:val="24"/>
          <w:lang w:val="en-US"/>
        </w:rPr>
        <w:t xml:space="preserve">3 </w:t>
      </w:r>
      <w:r>
        <w:rPr>
          <w:szCs w:val="24"/>
          <w:lang w:val="en-US"/>
        </w:rPr>
        <w:t>percentage points.</w:t>
      </w:r>
    </w:p>
    <w:p w14:paraId="2EED4634" w14:textId="77777777" w:rsidR="00C41769" w:rsidRPr="007E524A" w:rsidRDefault="00C41769" w:rsidP="00C41769">
      <w:pPr>
        <w:jc w:val="left"/>
        <w:rPr>
          <w:b/>
          <w:szCs w:val="24"/>
          <w:lang w:val="en-US"/>
        </w:rPr>
      </w:pPr>
      <w:r w:rsidRPr="007E524A">
        <w:rPr>
          <w:b/>
          <w:szCs w:val="24"/>
          <w:lang w:val="en-US"/>
        </w:rPr>
        <w:t>Table 3. Mean differences</w:t>
      </w:r>
    </w:p>
    <w:tbl>
      <w:tblPr>
        <w:tblW w:w="9007" w:type="dxa"/>
        <w:tblInd w:w="-10" w:type="dxa"/>
        <w:tblCellMar>
          <w:left w:w="70" w:type="dxa"/>
          <w:right w:w="70" w:type="dxa"/>
        </w:tblCellMar>
        <w:tblLook w:val="04A0" w:firstRow="1" w:lastRow="0" w:firstColumn="1" w:lastColumn="0" w:noHBand="0" w:noVBand="1"/>
      </w:tblPr>
      <w:tblGrid>
        <w:gridCol w:w="852"/>
        <w:gridCol w:w="1984"/>
        <w:gridCol w:w="992"/>
        <w:gridCol w:w="1360"/>
        <w:gridCol w:w="1520"/>
        <w:gridCol w:w="1460"/>
        <w:gridCol w:w="839"/>
      </w:tblGrid>
      <w:tr w:rsidR="00C41769" w:rsidRPr="002F7590" w14:paraId="5B4B79C2" w14:textId="77777777" w:rsidTr="00483A0D">
        <w:trPr>
          <w:trHeight w:val="315"/>
        </w:trPr>
        <w:tc>
          <w:tcPr>
            <w:tcW w:w="8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AAFFB2" w14:textId="77777777" w:rsidR="00C41769" w:rsidRPr="002F7590" w:rsidRDefault="00C41769" w:rsidP="00557280">
            <w:pPr>
              <w:spacing w:after="0"/>
              <w:jc w:val="center"/>
              <w:rPr>
                <w:sz w:val="20"/>
                <w:szCs w:val="20"/>
                <w:lang w:eastAsia="es-AR"/>
              </w:rPr>
            </w:pPr>
            <w:r w:rsidRPr="002F7590">
              <w:rPr>
                <w:sz w:val="20"/>
                <w:szCs w:val="20"/>
                <w:lang w:eastAsia="es-AR"/>
              </w:rPr>
              <w:t>H1</w:t>
            </w:r>
          </w:p>
        </w:tc>
        <w:tc>
          <w:tcPr>
            <w:tcW w:w="19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204274" w14:textId="77777777" w:rsidR="00C41769" w:rsidRPr="002F7590" w:rsidRDefault="00C41769" w:rsidP="00557280">
            <w:pPr>
              <w:spacing w:after="0"/>
              <w:rPr>
                <w:sz w:val="20"/>
                <w:szCs w:val="20"/>
                <w:lang w:eastAsia="es-AR"/>
              </w:rPr>
            </w:pPr>
            <w:r>
              <w:rPr>
                <w:sz w:val="20"/>
                <w:szCs w:val="20"/>
                <w:lang w:eastAsia="es-AR"/>
              </w:rPr>
              <w:t xml:space="preserve">1. </w:t>
            </w:r>
            <w:r w:rsidRPr="002F7590">
              <w:rPr>
                <w:sz w:val="20"/>
                <w:szCs w:val="20"/>
                <w:lang w:eastAsia="es-AR"/>
              </w:rPr>
              <w:t xml:space="preserve">Total </w:t>
            </w:r>
            <w:proofErr w:type="spellStart"/>
            <w:r w:rsidRPr="002F7590">
              <w:rPr>
                <w:sz w:val="20"/>
                <w:szCs w:val="20"/>
                <w:lang w:eastAsia="es-AR"/>
              </w:rPr>
              <w:t>Sample</w:t>
            </w:r>
            <w:proofErr w:type="spellEnd"/>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6A24077" w14:textId="77777777" w:rsidR="00C41769" w:rsidRPr="002F7590" w:rsidRDefault="00C41769" w:rsidP="00557280">
            <w:pPr>
              <w:spacing w:after="0"/>
              <w:jc w:val="center"/>
              <w:rPr>
                <w:sz w:val="20"/>
                <w:szCs w:val="20"/>
                <w:lang w:eastAsia="es-AR"/>
              </w:rPr>
            </w:pPr>
            <w:r>
              <w:rPr>
                <w:sz w:val="20"/>
                <w:szCs w:val="20"/>
                <w:lang w:eastAsia="es-AR"/>
              </w:rPr>
              <w:t>O</w:t>
            </w:r>
            <w:r w:rsidRPr="002F7590">
              <w:rPr>
                <w:sz w:val="20"/>
                <w:szCs w:val="20"/>
                <w:lang w:eastAsia="es-AR"/>
              </w:rPr>
              <w:t>utput</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49901DC0" w14:textId="77777777" w:rsidR="00C41769" w:rsidRPr="002F7590" w:rsidRDefault="00C41769" w:rsidP="00557280">
            <w:pPr>
              <w:spacing w:after="0"/>
              <w:jc w:val="center"/>
              <w:rPr>
                <w:sz w:val="20"/>
                <w:szCs w:val="20"/>
                <w:lang w:eastAsia="es-AR"/>
              </w:rPr>
            </w:pPr>
            <w:r w:rsidRPr="002F7590">
              <w:rPr>
                <w:sz w:val="20"/>
                <w:szCs w:val="20"/>
                <w:lang w:eastAsia="es-AR"/>
              </w:rPr>
              <w:t>N (</w:t>
            </w:r>
            <w:proofErr w:type="spellStart"/>
            <w:r w:rsidRPr="002F7590">
              <w:rPr>
                <w:sz w:val="20"/>
                <w:szCs w:val="20"/>
                <w:lang w:eastAsia="es-AR"/>
              </w:rPr>
              <w:t>Treated</w:t>
            </w:r>
            <w:proofErr w:type="spellEnd"/>
            <w:r w:rsidRPr="002F7590">
              <w:rPr>
                <w:sz w:val="20"/>
                <w:szCs w:val="20"/>
                <w:lang w:eastAsia="es-AR"/>
              </w:rPr>
              <w:t>)</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38D226CB" w14:textId="77777777" w:rsidR="00C41769" w:rsidRPr="002F7590" w:rsidRDefault="00C41769" w:rsidP="00557280">
            <w:pPr>
              <w:spacing w:after="0"/>
              <w:jc w:val="center"/>
              <w:rPr>
                <w:sz w:val="20"/>
                <w:szCs w:val="20"/>
                <w:lang w:eastAsia="es-AR"/>
              </w:rPr>
            </w:pPr>
            <w:r w:rsidRPr="002F7590">
              <w:rPr>
                <w:sz w:val="20"/>
                <w:szCs w:val="20"/>
                <w:lang w:eastAsia="es-AR"/>
              </w:rPr>
              <w:t>N (</w:t>
            </w:r>
            <w:proofErr w:type="spellStart"/>
            <w:r w:rsidRPr="002F7590">
              <w:rPr>
                <w:sz w:val="20"/>
                <w:szCs w:val="20"/>
                <w:lang w:eastAsia="es-AR"/>
              </w:rPr>
              <w:t>Ctrol</w:t>
            </w:r>
            <w:proofErr w:type="spellEnd"/>
            <w:r w:rsidRPr="002F7590">
              <w:rPr>
                <w:sz w:val="20"/>
                <w:szCs w:val="20"/>
                <w:lang w:eastAsia="es-AR"/>
              </w:rPr>
              <w:t xml:space="preserve"> </w:t>
            </w:r>
            <w:proofErr w:type="spellStart"/>
            <w:r w:rsidRPr="002F7590">
              <w:rPr>
                <w:sz w:val="20"/>
                <w:szCs w:val="20"/>
                <w:lang w:eastAsia="es-AR"/>
              </w:rPr>
              <w:t>Group</w:t>
            </w:r>
            <w:proofErr w:type="spellEnd"/>
            <w:r w:rsidRPr="002F7590">
              <w:rPr>
                <w:sz w:val="20"/>
                <w:szCs w:val="20"/>
                <w:lang w:eastAsia="es-AR"/>
              </w:rPr>
              <w:t>)</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14:paraId="7126FDA1" w14:textId="77777777" w:rsidR="00C41769" w:rsidRPr="002F7590" w:rsidRDefault="00C41769" w:rsidP="00557280">
            <w:pPr>
              <w:spacing w:after="0"/>
              <w:jc w:val="center"/>
              <w:rPr>
                <w:sz w:val="20"/>
                <w:szCs w:val="20"/>
                <w:lang w:eastAsia="es-AR"/>
              </w:rPr>
            </w:pPr>
            <w:r w:rsidRPr="002F7590">
              <w:rPr>
                <w:sz w:val="20"/>
                <w:szCs w:val="20"/>
                <w:lang w:eastAsia="es-AR"/>
              </w:rPr>
              <w:t>ATT (</w:t>
            </w:r>
            <w:proofErr w:type="spellStart"/>
            <w:r w:rsidRPr="002F7590">
              <w:rPr>
                <w:sz w:val="20"/>
                <w:szCs w:val="20"/>
                <w:lang w:eastAsia="es-AR"/>
              </w:rPr>
              <w:t>Matched</w:t>
            </w:r>
            <w:proofErr w:type="spellEnd"/>
            <w:r w:rsidRPr="002F7590">
              <w:rPr>
                <w:sz w:val="20"/>
                <w:szCs w:val="20"/>
                <w:lang w:eastAsia="es-AR"/>
              </w:rPr>
              <w:t>)</w:t>
            </w:r>
          </w:p>
        </w:tc>
        <w:tc>
          <w:tcPr>
            <w:tcW w:w="839" w:type="dxa"/>
            <w:tcBorders>
              <w:top w:val="single" w:sz="8" w:space="0" w:color="auto"/>
              <w:left w:val="nil"/>
              <w:bottom w:val="single" w:sz="4" w:space="0" w:color="auto"/>
              <w:right w:val="single" w:sz="8" w:space="0" w:color="auto"/>
            </w:tcBorders>
            <w:shd w:val="clear" w:color="auto" w:fill="auto"/>
            <w:noWrap/>
            <w:vAlign w:val="bottom"/>
            <w:hideMark/>
          </w:tcPr>
          <w:p w14:paraId="7FDCF90E" w14:textId="77777777" w:rsidR="00C41769" w:rsidRPr="002F7590" w:rsidRDefault="00C41769" w:rsidP="00557280">
            <w:pPr>
              <w:spacing w:after="0"/>
              <w:jc w:val="center"/>
              <w:rPr>
                <w:sz w:val="20"/>
                <w:szCs w:val="20"/>
                <w:lang w:eastAsia="es-AR"/>
              </w:rPr>
            </w:pPr>
            <w:r w:rsidRPr="002F7590">
              <w:rPr>
                <w:sz w:val="20"/>
                <w:szCs w:val="20"/>
                <w:lang w:eastAsia="es-AR"/>
              </w:rPr>
              <w:t>T</w:t>
            </w:r>
          </w:p>
        </w:tc>
      </w:tr>
      <w:tr w:rsidR="00C41769" w:rsidRPr="002F7590" w14:paraId="58A90C35" w14:textId="77777777" w:rsidTr="00483A0D">
        <w:trPr>
          <w:trHeight w:val="46"/>
        </w:trPr>
        <w:tc>
          <w:tcPr>
            <w:tcW w:w="852" w:type="dxa"/>
            <w:vMerge/>
            <w:tcBorders>
              <w:top w:val="single" w:sz="8" w:space="0" w:color="auto"/>
              <w:left w:val="single" w:sz="8" w:space="0" w:color="auto"/>
              <w:bottom w:val="single" w:sz="8" w:space="0" w:color="000000"/>
              <w:right w:val="single" w:sz="8" w:space="0" w:color="auto"/>
            </w:tcBorders>
            <w:vAlign w:val="center"/>
            <w:hideMark/>
          </w:tcPr>
          <w:p w14:paraId="798AE210" w14:textId="77777777" w:rsidR="00C41769" w:rsidRPr="002F7590" w:rsidRDefault="00C41769" w:rsidP="00557280">
            <w:pPr>
              <w:spacing w:after="0"/>
              <w:jc w:val="center"/>
              <w:rPr>
                <w:sz w:val="20"/>
                <w:szCs w:val="20"/>
                <w:lang w:eastAsia="es-AR"/>
              </w:rPr>
            </w:pPr>
          </w:p>
        </w:tc>
        <w:tc>
          <w:tcPr>
            <w:tcW w:w="1984" w:type="dxa"/>
            <w:vMerge/>
            <w:tcBorders>
              <w:top w:val="single" w:sz="8" w:space="0" w:color="auto"/>
              <w:left w:val="single" w:sz="8" w:space="0" w:color="auto"/>
              <w:bottom w:val="single" w:sz="8" w:space="0" w:color="000000"/>
              <w:right w:val="single" w:sz="4" w:space="0" w:color="auto"/>
            </w:tcBorders>
            <w:vAlign w:val="center"/>
            <w:hideMark/>
          </w:tcPr>
          <w:p w14:paraId="600F70CD" w14:textId="77777777" w:rsidR="00C41769" w:rsidRPr="002F7590" w:rsidRDefault="00C41769" w:rsidP="00557280">
            <w:pPr>
              <w:spacing w:after="0"/>
              <w:rPr>
                <w:sz w:val="20"/>
                <w:szCs w:val="20"/>
                <w:lang w:eastAsia="es-AR"/>
              </w:rPr>
            </w:pPr>
          </w:p>
        </w:tc>
        <w:tc>
          <w:tcPr>
            <w:tcW w:w="617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4B676561" w14:textId="77777777" w:rsidR="00C41769" w:rsidRPr="002F7590" w:rsidRDefault="00C41769" w:rsidP="00557280">
            <w:pPr>
              <w:spacing w:after="0"/>
              <w:jc w:val="center"/>
              <w:rPr>
                <w:sz w:val="20"/>
                <w:szCs w:val="20"/>
                <w:lang w:eastAsia="es-AR"/>
              </w:rPr>
            </w:pPr>
          </w:p>
        </w:tc>
      </w:tr>
      <w:tr w:rsidR="00C41769" w:rsidRPr="002F7590" w14:paraId="422B043B" w14:textId="77777777" w:rsidTr="00483A0D">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14:paraId="68464284" w14:textId="77777777" w:rsidR="00C41769" w:rsidRPr="002F7590" w:rsidRDefault="00C41769" w:rsidP="00557280">
            <w:pPr>
              <w:spacing w:after="0"/>
              <w:jc w:val="center"/>
              <w:rPr>
                <w:sz w:val="20"/>
                <w:szCs w:val="20"/>
                <w:lang w:eastAsia="es-AR"/>
              </w:rPr>
            </w:pPr>
          </w:p>
        </w:tc>
        <w:tc>
          <w:tcPr>
            <w:tcW w:w="1984" w:type="dxa"/>
            <w:vMerge/>
            <w:tcBorders>
              <w:top w:val="single" w:sz="8" w:space="0" w:color="auto"/>
              <w:left w:val="single" w:sz="8" w:space="0" w:color="auto"/>
              <w:bottom w:val="single" w:sz="8" w:space="0" w:color="000000"/>
              <w:right w:val="single" w:sz="4" w:space="0" w:color="auto"/>
            </w:tcBorders>
            <w:vAlign w:val="center"/>
            <w:hideMark/>
          </w:tcPr>
          <w:p w14:paraId="6A72A60E"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4B595AB3"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prod</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3DF96948" w14:textId="77777777" w:rsidR="00C41769" w:rsidRPr="002F7590" w:rsidRDefault="000C7067" w:rsidP="00C751F4">
            <w:pPr>
              <w:spacing w:after="0"/>
              <w:jc w:val="center"/>
              <w:rPr>
                <w:sz w:val="20"/>
                <w:szCs w:val="20"/>
                <w:lang w:eastAsia="es-AR"/>
              </w:rPr>
            </w:pPr>
            <w:r>
              <w:rPr>
                <w:sz w:val="20"/>
                <w:szCs w:val="20"/>
                <w:lang w:eastAsia="es-AR"/>
              </w:rPr>
              <w:t>8</w:t>
            </w:r>
            <w:r w:rsidR="00C751F4">
              <w:rPr>
                <w:sz w:val="20"/>
                <w:szCs w:val="20"/>
                <w:lang w:eastAsia="es-AR"/>
              </w:rPr>
              <w:t>23</w:t>
            </w:r>
          </w:p>
        </w:tc>
        <w:tc>
          <w:tcPr>
            <w:tcW w:w="1520" w:type="dxa"/>
            <w:tcBorders>
              <w:top w:val="nil"/>
              <w:left w:val="nil"/>
              <w:bottom w:val="single" w:sz="4" w:space="0" w:color="auto"/>
              <w:right w:val="single" w:sz="4" w:space="0" w:color="auto"/>
            </w:tcBorders>
            <w:shd w:val="clear" w:color="auto" w:fill="auto"/>
            <w:noWrap/>
            <w:vAlign w:val="bottom"/>
            <w:hideMark/>
          </w:tcPr>
          <w:p w14:paraId="2448CA59" w14:textId="77777777" w:rsidR="00C41769" w:rsidRPr="002F7590" w:rsidRDefault="000C7067" w:rsidP="00C751F4">
            <w:pPr>
              <w:spacing w:after="0"/>
              <w:jc w:val="center"/>
              <w:rPr>
                <w:sz w:val="20"/>
                <w:szCs w:val="20"/>
                <w:lang w:eastAsia="es-AR"/>
              </w:rPr>
            </w:pPr>
            <w:r>
              <w:rPr>
                <w:sz w:val="20"/>
                <w:szCs w:val="20"/>
                <w:lang w:eastAsia="es-AR"/>
              </w:rPr>
              <w:t>5</w:t>
            </w:r>
            <w:r w:rsidR="00C751F4">
              <w:rPr>
                <w:sz w:val="20"/>
                <w:szCs w:val="20"/>
                <w:lang w:eastAsia="es-AR"/>
              </w:rPr>
              <w:t>08</w:t>
            </w:r>
          </w:p>
        </w:tc>
        <w:tc>
          <w:tcPr>
            <w:tcW w:w="1460" w:type="dxa"/>
            <w:tcBorders>
              <w:top w:val="nil"/>
              <w:left w:val="nil"/>
              <w:bottom w:val="single" w:sz="4" w:space="0" w:color="auto"/>
              <w:right w:val="single" w:sz="4" w:space="0" w:color="auto"/>
            </w:tcBorders>
            <w:shd w:val="clear" w:color="auto" w:fill="auto"/>
            <w:noWrap/>
            <w:vAlign w:val="bottom"/>
            <w:hideMark/>
          </w:tcPr>
          <w:p w14:paraId="17876DFC" w14:textId="77777777" w:rsidR="00C41769" w:rsidRPr="002F7590" w:rsidRDefault="00C41769" w:rsidP="00C751F4">
            <w:pPr>
              <w:spacing w:after="0"/>
              <w:jc w:val="center"/>
              <w:rPr>
                <w:sz w:val="20"/>
                <w:szCs w:val="20"/>
                <w:lang w:eastAsia="es-AR"/>
              </w:rPr>
            </w:pPr>
            <w:r w:rsidRPr="002F7590">
              <w:rPr>
                <w:sz w:val="20"/>
                <w:szCs w:val="20"/>
                <w:lang w:eastAsia="es-AR"/>
              </w:rPr>
              <w:t>0.2</w:t>
            </w:r>
            <w:r w:rsidR="00C751F4">
              <w:rPr>
                <w:sz w:val="20"/>
                <w:szCs w:val="20"/>
                <w:lang w:eastAsia="es-AR"/>
              </w:rPr>
              <w:t>73</w:t>
            </w:r>
          </w:p>
        </w:tc>
        <w:tc>
          <w:tcPr>
            <w:tcW w:w="839" w:type="dxa"/>
            <w:tcBorders>
              <w:top w:val="nil"/>
              <w:left w:val="nil"/>
              <w:bottom w:val="single" w:sz="4" w:space="0" w:color="auto"/>
              <w:right w:val="single" w:sz="8" w:space="0" w:color="auto"/>
            </w:tcBorders>
            <w:shd w:val="clear" w:color="auto" w:fill="auto"/>
            <w:noWrap/>
            <w:vAlign w:val="bottom"/>
            <w:hideMark/>
          </w:tcPr>
          <w:p w14:paraId="4193121F" w14:textId="39264218" w:rsidR="00C41769" w:rsidRPr="002F7590" w:rsidRDefault="00C751F4" w:rsidP="00C36EBE">
            <w:pPr>
              <w:spacing w:after="0"/>
              <w:jc w:val="center"/>
              <w:rPr>
                <w:sz w:val="20"/>
                <w:szCs w:val="20"/>
                <w:lang w:eastAsia="es-AR"/>
              </w:rPr>
            </w:pPr>
            <w:r>
              <w:rPr>
                <w:sz w:val="20"/>
                <w:szCs w:val="20"/>
                <w:lang w:eastAsia="es-AR"/>
              </w:rPr>
              <w:t>5</w:t>
            </w:r>
            <w:r w:rsidR="000C7067">
              <w:rPr>
                <w:sz w:val="20"/>
                <w:szCs w:val="20"/>
                <w:lang w:eastAsia="es-AR"/>
              </w:rPr>
              <w:t>.</w:t>
            </w:r>
            <w:r w:rsidR="00C36EBE">
              <w:rPr>
                <w:sz w:val="20"/>
                <w:szCs w:val="20"/>
                <w:lang w:eastAsia="es-AR"/>
              </w:rPr>
              <w:t>4</w:t>
            </w:r>
            <w:r w:rsidR="00524F3B">
              <w:rPr>
                <w:sz w:val="20"/>
                <w:szCs w:val="20"/>
                <w:lang w:eastAsia="es-AR"/>
              </w:rPr>
              <w:t>93</w:t>
            </w:r>
          </w:p>
        </w:tc>
      </w:tr>
      <w:tr w:rsidR="00C41769" w:rsidRPr="002F7590" w14:paraId="7B3D14EA" w14:textId="77777777" w:rsidTr="00483A0D">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14:paraId="074E2487" w14:textId="77777777" w:rsidR="00C41769" w:rsidRPr="002F7590" w:rsidRDefault="00C41769" w:rsidP="00557280">
            <w:pPr>
              <w:spacing w:after="0"/>
              <w:jc w:val="center"/>
              <w:rPr>
                <w:sz w:val="20"/>
                <w:szCs w:val="20"/>
                <w:lang w:eastAsia="es-AR"/>
              </w:rPr>
            </w:pPr>
          </w:p>
        </w:tc>
        <w:tc>
          <w:tcPr>
            <w:tcW w:w="1984" w:type="dxa"/>
            <w:vMerge/>
            <w:tcBorders>
              <w:top w:val="single" w:sz="8" w:space="0" w:color="auto"/>
              <w:left w:val="single" w:sz="8" w:space="0" w:color="auto"/>
              <w:bottom w:val="single" w:sz="8" w:space="0" w:color="000000"/>
              <w:right w:val="single" w:sz="4" w:space="0" w:color="auto"/>
            </w:tcBorders>
            <w:vAlign w:val="center"/>
            <w:hideMark/>
          </w:tcPr>
          <w:p w14:paraId="5BDC0165"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222E5BEE"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wage</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678983F0" w14:textId="77777777" w:rsidR="00C41769" w:rsidRPr="002F7590" w:rsidRDefault="00C751F4" w:rsidP="00C751F4">
            <w:pPr>
              <w:spacing w:after="0"/>
              <w:jc w:val="center"/>
              <w:rPr>
                <w:sz w:val="20"/>
                <w:szCs w:val="20"/>
                <w:lang w:eastAsia="es-AR"/>
              </w:rPr>
            </w:pPr>
            <w:r>
              <w:rPr>
                <w:sz w:val="20"/>
                <w:szCs w:val="20"/>
                <w:lang w:eastAsia="es-AR"/>
              </w:rPr>
              <w:t>823</w:t>
            </w:r>
          </w:p>
        </w:tc>
        <w:tc>
          <w:tcPr>
            <w:tcW w:w="1520" w:type="dxa"/>
            <w:tcBorders>
              <w:top w:val="nil"/>
              <w:left w:val="nil"/>
              <w:bottom w:val="single" w:sz="4" w:space="0" w:color="auto"/>
              <w:right w:val="single" w:sz="4" w:space="0" w:color="auto"/>
            </w:tcBorders>
            <w:shd w:val="clear" w:color="auto" w:fill="auto"/>
            <w:noWrap/>
            <w:vAlign w:val="bottom"/>
            <w:hideMark/>
          </w:tcPr>
          <w:p w14:paraId="21977D29" w14:textId="77777777" w:rsidR="00C41769" w:rsidRPr="002F7590" w:rsidRDefault="00C751F4" w:rsidP="000C7067">
            <w:pPr>
              <w:spacing w:after="0"/>
              <w:jc w:val="center"/>
              <w:rPr>
                <w:sz w:val="20"/>
                <w:szCs w:val="20"/>
                <w:lang w:eastAsia="es-AR"/>
              </w:rPr>
            </w:pPr>
            <w:r>
              <w:rPr>
                <w:sz w:val="20"/>
                <w:szCs w:val="20"/>
                <w:lang w:eastAsia="es-AR"/>
              </w:rPr>
              <w:t>508</w:t>
            </w:r>
          </w:p>
        </w:tc>
        <w:tc>
          <w:tcPr>
            <w:tcW w:w="1460" w:type="dxa"/>
            <w:tcBorders>
              <w:top w:val="nil"/>
              <w:left w:val="nil"/>
              <w:bottom w:val="single" w:sz="4" w:space="0" w:color="auto"/>
              <w:right w:val="single" w:sz="4" w:space="0" w:color="auto"/>
            </w:tcBorders>
            <w:shd w:val="clear" w:color="auto" w:fill="auto"/>
            <w:noWrap/>
            <w:vAlign w:val="bottom"/>
            <w:hideMark/>
          </w:tcPr>
          <w:p w14:paraId="4BA941BF" w14:textId="77777777" w:rsidR="00C41769" w:rsidRPr="002F7590" w:rsidRDefault="000C7067" w:rsidP="00C751F4">
            <w:pPr>
              <w:spacing w:after="0"/>
              <w:jc w:val="center"/>
              <w:rPr>
                <w:sz w:val="20"/>
                <w:szCs w:val="20"/>
                <w:lang w:eastAsia="es-AR"/>
              </w:rPr>
            </w:pPr>
            <w:r>
              <w:rPr>
                <w:sz w:val="20"/>
                <w:szCs w:val="20"/>
                <w:lang w:eastAsia="es-AR"/>
              </w:rPr>
              <w:t>0.1</w:t>
            </w:r>
            <w:r w:rsidR="00C751F4">
              <w:rPr>
                <w:sz w:val="20"/>
                <w:szCs w:val="20"/>
                <w:lang w:eastAsia="es-AR"/>
              </w:rPr>
              <w:t>98</w:t>
            </w:r>
          </w:p>
        </w:tc>
        <w:tc>
          <w:tcPr>
            <w:tcW w:w="839" w:type="dxa"/>
            <w:tcBorders>
              <w:top w:val="nil"/>
              <w:left w:val="nil"/>
              <w:bottom w:val="single" w:sz="4" w:space="0" w:color="auto"/>
              <w:right w:val="single" w:sz="8" w:space="0" w:color="auto"/>
            </w:tcBorders>
            <w:shd w:val="clear" w:color="auto" w:fill="auto"/>
            <w:noWrap/>
            <w:vAlign w:val="bottom"/>
            <w:hideMark/>
          </w:tcPr>
          <w:p w14:paraId="374C0A8A" w14:textId="0BC268BD" w:rsidR="00C41769" w:rsidRPr="002F7590" w:rsidRDefault="00C751F4" w:rsidP="00876CBC">
            <w:pPr>
              <w:spacing w:after="0"/>
              <w:jc w:val="center"/>
              <w:rPr>
                <w:sz w:val="20"/>
                <w:szCs w:val="20"/>
                <w:lang w:eastAsia="es-AR"/>
              </w:rPr>
            </w:pPr>
            <w:r>
              <w:rPr>
                <w:sz w:val="20"/>
                <w:szCs w:val="20"/>
                <w:lang w:eastAsia="es-AR"/>
              </w:rPr>
              <w:t>5</w:t>
            </w:r>
            <w:r w:rsidR="00C41769" w:rsidRPr="002F7590">
              <w:rPr>
                <w:sz w:val="20"/>
                <w:szCs w:val="20"/>
                <w:lang w:eastAsia="es-AR"/>
              </w:rPr>
              <w:t>.</w:t>
            </w:r>
            <w:r w:rsidR="00876CBC">
              <w:rPr>
                <w:sz w:val="20"/>
                <w:szCs w:val="20"/>
                <w:lang w:eastAsia="es-AR"/>
              </w:rPr>
              <w:t>560</w:t>
            </w:r>
          </w:p>
        </w:tc>
      </w:tr>
      <w:tr w:rsidR="00C41769" w:rsidRPr="002F7590" w14:paraId="1E3AC0B8" w14:textId="77777777" w:rsidTr="00483A0D">
        <w:trPr>
          <w:trHeight w:val="46"/>
        </w:trPr>
        <w:tc>
          <w:tcPr>
            <w:tcW w:w="852" w:type="dxa"/>
            <w:vMerge/>
            <w:tcBorders>
              <w:top w:val="single" w:sz="8" w:space="0" w:color="auto"/>
              <w:left w:val="single" w:sz="8" w:space="0" w:color="auto"/>
              <w:bottom w:val="single" w:sz="8" w:space="0" w:color="000000"/>
              <w:right w:val="single" w:sz="8" w:space="0" w:color="auto"/>
            </w:tcBorders>
            <w:vAlign w:val="center"/>
            <w:hideMark/>
          </w:tcPr>
          <w:p w14:paraId="71584B77" w14:textId="77777777" w:rsidR="00C41769" w:rsidRPr="002F7590" w:rsidRDefault="00C41769" w:rsidP="00557280">
            <w:pPr>
              <w:spacing w:after="0"/>
              <w:jc w:val="center"/>
              <w:rPr>
                <w:sz w:val="20"/>
                <w:szCs w:val="20"/>
                <w:lang w:eastAsia="es-AR"/>
              </w:rPr>
            </w:pPr>
          </w:p>
        </w:tc>
        <w:tc>
          <w:tcPr>
            <w:tcW w:w="1984" w:type="dxa"/>
            <w:vMerge/>
            <w:tcBorders>
              <w:top w:val="single" w:sz="8" w:space="0" w:color="auto"/>
              <w:left w:val="single" w:sz="8" w:space="0" w:color="auto"/>
              <w:bottom w:val="single" w:sz="8" w:space="0" w:color="000000"/>
              <w:right w:val="single" w:sz="4" w:space="0" w:color="auto"/>
            </w:tcBorders>
            <w:vAlign w:val="center"/>
            <w:hideMark/>
          </w:tcPr>
          <w:p w14:paraId="63541B2D" w14:textId="77777777" w:rsidR="00C41769" w:rsidRPr="002F7590" w:rsidRDefault="00C41769" w:rsidP="00557280">
            <w:pPr>
              <w:spacing w:after="0"/>
              <w:rPr>
                <w:sz w:val="20"/>
                <w:szCs w:val="20"/>
                <w:lang w:eastAsia="es-AR"/>
              </w:rPr>
            </w:pPr>
          </w:p>
        </w:tc>
        <w:tc>
          <w:tcPr>
            <w:tcW w:w="992" w:type="dxa"/>
            <w:tcBorders>
              <w:top w:val="nil"/>
              <w:left w:val="nil"/>
              <w:bottom w:val="single" w:sz="8" w:space="0" w:color="auto"/>
              <w:right w:val="single" w:sz="4" w:space="0" w:color="auto"/>
            </w:tcBorders>
            <w:shd w:val="clear" w:color="auto" w:fill="auto"/>
            <w:noWrap/>
            <w:vAlign w:val="bottom"/>
            <w:hideMark/>
          </w:tcPr>
          <w:p w14:paraId="2CA36C6F" w14:textId="77777777" w:rsidR="00C41769" w:rsidRPr="002F7590" w:rsidRDefault="00C41769" w:rsidP="00557280">
            <w:pPr>
              <w:spacing w:after="0"/>
              <w:jc w:val="center"/>
              <w:rPr>
                <w:b/>
                <w:sz w:val="20"/>
                <w:szCs w:val="20"/>
                <w:lang w:eastAsia="es-AR"/>
              </w:rPr>
            </w:pPr>
            <w:r w:rsidRPr="002F7590">
              <w:rPr>
                <w:b/>
                <w:sz w:val="20"/>
                <w:szCs w:val="20"/>
                <w:lang w:eastAsia="es-AR"/>
              </w:rPr>
              <w:t>Gap</w:t>
            </w:r>
          </w:p>
        </w:tc>
        <w:tc>
          <w:tcPr>
            <w:tcW w:w="288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1483A50F" w14:textId="77777777" w:rsidR="00C41769" w:rsidRPr="002F7590" w:rsidRDefault="00C41769" w:rsidP="00557280">
            <w:pPr>
              <w:spacing w:after="0"/>
              <w:jc w:val="center"/>
              <w:rPr>
                <w:b/>
                <w:sz w:val="20"/>
                <w:szCs w:val="20"/>
                <w:lang w:eastAsia="es-AR"/>
              </w:rPr>
            </w:pPr>
          </w:p>
        </w:tc>
        <w:tc>
          <w:tcPr>
            <w:tcW w:w="1460" w:type="dxa"/>
            <w:tcBorders>
              <w:top w:val="nil"/>
              <w:left w:val="nil"/>
              <w:bottom w:val="single" w:sz="8" w:space="0" w:color="auto"/>
              <w:right w:val="single" w:sz="4" w:space="0" w:color="auto"/>
            </w:tcBorders>
            <w:shd w:val="clear" w:color="auto" w:fill="auto"/>
            <w:noWrap/>
            <w:vAlign w:val="bottom"/>
            <w:hideMark/>
          </w:tcPr>
          <w:p w14:paraId="195FF5E9" w14:textId="77777777" w:rsidR="00C41769" w:rsidRPr="002F7590" w:rsidRDefault="000C7067" w:rsidP="00C751F4">
            <w:pPr>
              <w:spacing w:after="0"/>
              <w:jc w:val="center"/>
              <w:rPr>
                <w:b/>
                <w:sz w:val="20"/>
                <w:szCs w:val="20"/>
                <w:lang w:eastAsia="es-AR"/>
              </w:rPr>
            </w:pPr>
            <w:r>
              <w:rPr>
                <w:b/>
                <w:sz w:val="20"/>
                <w:szCs w:val="20"/>
                <w:lang w:eastAsia="es-AR"/>
              </w:rPr>
              <w:t>0.</w:t>
            </w:r>
            <w:r w:rsidR="00C751F4">
              <w:rPr>
                <w:b/>
                <w:sz w:val="20"/>
                <w:szCs w:val="20"/>
                <w:lang w:eastAsia="es-AR"/>
              </w:rPr>
              <w:t>8</w:t>
            </w:r>
          </w:p>
        </w:tc>
        <w:tc>
          <w:tcPr>
            <w:tcW w:w="839" w:type="dxa"/>
            <w:tcBorders>
              <w:top w:val="nil"/>
              <w:left w:val="nil"/>
              <w:bottom w:val="single" w:sz="8" w:space="0" w:color="auto"/>
              <w:right w:val="single" w:sz="8" w:space="0" w:color="auto"/>
            </w:tcBorders>
            <w:shd w:val="clear" w:color="auto" w:fill="auto"/>
            <w:noWrap/>
            <w:vAlign w:val="bottom"/>
            <w:hideMark/>
          </w:tcPr>
          <w:p w14:paraId="1169ADBC" w14:textId="77777777" w:rsidR="00C41769" w:rsidRPr="002F7590" w:rsidRDefault="00C41769" w:rsidP="00557280">
            <w:pPr>
              <w:spacing w:after="0"/>
              <w:jc w:val="center"/>
              <w:rPr>
                <w:sz w:val="20"/>
                <w:szCs w:val="20"/>
                <w:lang w:eastAsia="es-AR"/>
              </w:rPr>
            </w:pPr>
          </w:p>
        </w:tc>
      </w:tr>
      <w:tr w:rsidR="00C41769" w:rsidRPr="002F7590" w14:paraId="38F5FF76" w14:textId="77777777" w:rsidTr="00483A0D">
        <w:trPr>
          <w:trHeight w:val="105"/>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14:paraId="4F0007E4" w14:textId="77777777" w:rsidR="00C41769" w:rsidRPr="002F7590" w:rsidRDefault="00C41769" w:rsidP="00557280">
            <w:pPr>
              <w:spacing w:after="0"/>
              <w:jc w:val="center"/>
              <w:rPr>
                <w:sz w:val="20"/>
                <w:szCs w:val="20"/>
                <w:lang w:eastAsia="es-AR"/>
              </w:rPr>
            </w:pPr>
            <w:r w:rsidRPr="002F7590">
              <w:rPr>
                <w:sz w:val="20"/>
                <w:szCs w:val="20"/>
                <w:lang w:eastAsia="es-AR"/>
              </w:rPr>
              <w:t>H2</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F3BA6BF" w14:textId="77777777" w:rsidR="00C41769" w:rsidRPr="002F7590" w:rsidRDefault="00C41769" w:rsidP="00557280">
            <w:pPr>
              <w:spacing w:after="0"/>
              <w:rPr>
                <w:sz w:val="20"/>
                <w:szCs w:val="20"/>
                <w:lang w:eastAsia="es-AR"/>
              </w:rPr>
            </w:pPr>
            <w:r>
              <w:rPr>
                <w:sz w:val="20"/>
                <w:szCs w:val="20"/>
                <w:lang w:eastAsia="es-AR"/>
              </w:rPr>
              <w:t xml:space="preserve">2. </w:t>
            </w:r>
            <w:proofErr w:type="spellStart"/>
            <w:r w:rsidRPr="002F7590">
              <w:rPr>
                <w:sz w:val="20"/>
                <w:szCs w:val="20"/>
                <w:lang w:eastAsia="es-AR"/>
              </w:rPr>
              <w:t>Low</w:t>
            </w:r>
            <w:proofErr w:type="spellEnd"/>
            <w:r w:rsidRPr="002F7590">
              <w:rPr>
                <w:sz w:val="20"/>
                <w:szCs w:val="20"/>
                <w:lang w:eastAsia="es-AR"/>
              </w:rPr>
              <w:t xml:space="preserve"> </w:t>
            </w:r>
            <w:proofErr w:type="spellStart"/>
            <w:r w:rsidRPr="002F7590">
              <w:rPr>
                <w:sz w:val="20"/>
                <w:szCs w:val="20"/>
                <w:lang w:eastAsia="es-AR"/>
              </w:rPr>
              <w:t>Tech</w:t>
            </w:r>
            <w:proofErr w:type="spellEnd"/>
          </w:p>
        </w:tc>
        <w:tc>
          <w:tcPr>
            <w:tcW w:w="617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3E78BCF6" w14:textId="77777777" w:rsidR="00C41769" w:rsidRPr="002F7590" w:rsidRDefault="00C41769" w:rsidP="00557280">
            <w:pPr>
              <w:spacing w:after="0"/>
              <w:jc w:val="center"/>
              <w:rPr>
                <w:sz w:val="20"/>
                <w:szCs w:val="20"/>
                <w:lang w:eastAsia="es-AR"/>
              </w:rPr>
            </w:pPr>
          </w:p>
        </w:tc>
      </w:tr>
      <w:tr w:rsidR="00C41769" w:rsidRPr="002F7590" w14:paraId="19BF9F04"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50562064"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132583F5"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21440980"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prod</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4A2D2F84" w14:textId="77777777" w:rsidR="00C41769" w:rsidRPr="002F7590" w:rsidRDefault="00596106" w:rsidP="00557280">
            <w:pPr>
              <w:spacing w:after="0"/>
              <w:jc w:val="center"/>
              <w:rPr>
                <w:sz w:val="20"/>
                <w:szCs w:val="20"/>
                <w:lang w:eastAsia="es-AR"/>
              </w:rPr>
            </w:pPr>
            <w:r>
              <w:rPr>
                <w:sz w:val="20"/>
                <w:szCs w:val="20"/>
                <w:lang w:eastAsia="es-AR"/>
              </w:rPr>
              <w:t>36</w:t>
            </w:r>
            <w:r w:rsidR="00C41769" w:rsidRPr="002F7590">
              <w:rPr>
                <w:sz w:val="20"/>
                <w:szCs w:val="20"/>
                <w:lang w:eastAsia="es-AR"/>
              </w:rPr>
              <w:t>7</w:t>
            </w:r>
          </w:p>
        </w:tc>
        <w:tc>
          <w:tcPr>
            <w:tcW w:w="1520" w:type="dxa"/>
            <w:tcBorders>
              <w:top w:val="nil"/>
              <w:left w:val="nil"/>
              <w:bottom w:val="single" w:sz="4" w:space="0" w:color="auto"/>
              <w:right w:val="single" w:sz="4" w:space="0" w:color="auto"/>
            </w:tcBorders>
            <w:shd w:val="clear" w:color="auto" w:fill="auto"/>
            <w:noWrap/>
            <w:vAlign w:val="bottom"/>
            <w:hideMark/>
          </w:tcPr>
          <w:p w14:paraId="4284C7C0" w14:textId="77777777" w:rsidR="00C41769" w:rsidRPr="002F7590" w:rsidRDefault="00596106" w:rsidP="00557280">
            <w:pPr>
              <w:spacing w:after="0"/>
              <w:jc w:val="center"/>
              <w:rPr>
                <w:sz w:val="20"/>
                <w:szCs w:val="20"/>
                <w:lang w:eastAsia="es-AR"/>
              </w:rPr>
            </w:pPr>
            <w:r>
              <w:rPr>
                <w:sz w:val="20"/>
                <w:szCs w:val="20"/>
                <w:lang w:eastAsia="es-AR"/>
              </w:rPr>
              <w:t>254</w:t>
            </w:r>
          </w:p>
        </w:tc>
        <w:tc>
          <w:tcPr>
            <w:tcW w:w="1460" w:type="dxa"/>
            <w:tcBorders>
              <w:top w:val="nil"/>
              <w:left w:val="nil"/>
              <w:bottom w:val="single" w:sz="4" w:space="0" w:color="auto"/>
              <w:right w:val="single" w:sz="4" w:space="0" w:color="auto"/>
            </w:tcBorders>
            <w:shd w:val="clear" w:color="auto" w:fill="auto"/>
            <w:noWrap/>
            <w:vAlign w:val="bottom"/>
            <w:hideMark/>
          </w:tcPr>
          <w:p w14:paraId="7AEFE0B2" w14:textId="77777777" w:rsidR="00C41769" w:rsidRPr="002F7590" w:rsidRDefault="00C41769" w:rsidP="00596106">
            <w:pPr>
              <w:spacing w:after="0"/>
              <w:jc w:val="center"/>
              <w:rPr>
                <w:sz w:val="20"/>
                <w:szCs w:val="20"/>
                <w:lang w:eastAsia="es-AR"/>
              </w:rPr>
            </w:pPr>
            <w:r w:rsidRPr="002F7590">
              <w:rPr>
                <w:sz w:val="20"/>
                <w:szCs w:val="20"/>
                <w:lang w:eastAsia="es-AR"/>
              </w:rPr>
              <w:t>0.3</w:t>
            </w:r>
            <w:r w:rsidR="00596106">
              <w:rPr>
                <w:sz w:val="20"/>
                <w:szCs w:val="20"/>
                <w:lang w:eastAsia="es-AR"/>
              </w:rPr>
              <w:t>42</w:t>
            </w:r>
          </w:p>
        </w:tc>
        <w:tc>
          <w:tcPr>
            <w:tcW w:w="839" w:type="dxa"/>
            <w:tcBorders>
              <w:top w:val="nil"/>
              <w:left w:val="nil"/>
              <w:bottom w:val="single" w:sz="4" w:space="0" w:color="auto"/>
              <w:right w:val="single" w:sz="8" w:space="0" w:color="auto"/>
            </w:tcBorders>
            <w:shd w:val="clear" w:color="auto" w:fill="auto"/>
            <w:noWrap/>
            <w:vAlign w:val="bottom"/>
            <w:hideMark/>
          </w:tcPr>
          <w:p w14:paraId="5F8C0599" w14:textId="6D4B43BA" w:rsidR="00C41769" w:rsidRPr="002F7590" w:rsidRDefault="003523B0" w:rsidP="003523B0">
            <w:pPr>
              <w:spacing w:after="0"/>
              <w:jc w:val="center"/>
              <w:rPr>
                <w:sz w:val="20"/>
                <w:szCs w:val="20"/>
                <w:lang w:eastAsia="es-AR"/>
              </w:rPr>
            </w:pPr>
            <w:r>
              <w:rPr>
                <w:sz w:val="20"/>
                <w:szCs w:val="20"/>
                <w:lang w:eastAsia="es-AR"/>
              </w:rPr>
              <w:t>4</w:t>
            </w:r>
            <w:r w:rsidR="00C41769" w:rsidRPr="002F7590">
              <w:rPr>
                <w:sz w:val="20"/>
                <w:szCs w:val="20"/>
                <w:lang w:eastAsia="es-AR"/>
              </w:rPr>
              <w:t>.</w:t>
            </w:r>
            <w:r>
              <w:rPr>
                <w:sz w:val="20"/>
                <w:szCs w:val="20"/>
                <w:lang w:eastAsia="es-AR"/>
              </w:rPr>
              <w:t>5</w:t>
            </w:r>
            <w:r w:rsidR="00596106">
              <w:rPr>
                <w:sz w:val="20"/>
                <w:szCs w:val="20"/>
                <w:lang w:eastAsia="es-AR"/>
              </w:rPr>
              <w:t>21</w:t>
            </w:r>
          </w:p>
        </w:tc>
      </w:tr>
      <w:tr w:rsidR="00C41769" w:rsidRPr="002F7590" w14:paraId="399FBE8E"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67442D86"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3D935C0D"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593F278D"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wage</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66DD3B57" w14:textId="77777777" w:rsidR="00C41769" w:rsidRPr="002F7590" w:rsidRDefault="00596106" w:rsidP="00557280">
            <w:pPr>
              <w:spacing w:after="0"/>
              <w:jc w:val="center"/>
              <w:rPr>
                <w:sz w:val="20"/>
                <w:szCs w:val="20"/>
                <w:lang w:eastAsia="es-AR"/>
              </w:rPr>
            </w:pPr>
            <w:r>
              <w:rPr>
                <w:sz w:val="20"/>
                <w:szCs w:val="20"/>
                <w:lang w:eastAsia="es-AR"/>
              </w:rPr>
              <w:t>367</w:t>
            </w:r>
          </w:p>
        </w:tc>
        <w:tc>
          <w:tcPr>
            <w:tcW w:w="1520" w:type="dxa"/>
            <w:tcBorders>
              <w:top w:val="nil"/>
              <w:left w:val="nil"/>
              <w:bottom w:val="single" w:sz="4" w:space="0" w:color="auto"/>
              <w:right w:val="single" w:sz="4" w:space="0" w:color="auto"/>
            </w:tcBorders>
            <w:shd w:val="clear" w:color="auto" w:fill="auto"/>
            <w:noWrap/>
            <w:vAlign w:val="bottom"/>
            <w:hideMark/>
          </w:tcPr>
          <w:p w14:paraId="503A60C1" w14:textId="7B72180C" w:rsidR="00C41769" w:rsidRPr="002F7590" w:rsidRDefault="003523B0" w:rsidP="00557280">
            <w:pPr>
              <w:spacing w:after="0"/>
              <w:jc w:val="center"/>
              <w:rPr>
                <w:sz w:val="20"/>
                <w:szCs w:val="20"/>
                <w:lang w:eastAsia="es-AR"/>
              </w:rPr>
            </w:pPr>
            <w:r>
              <w:rPr>
                <w:sz w:val="20"/>
                <w:szCs w:val="20"/>
                <w:lang w:eastAsia="es-AR"/>
              </w:rPr>
              <w:t>254</w:t>
            </w:r>
          </w:p>
        </w:tc>
        <w:tc>
          <w:tcPr>
            <w:tcW w:w="1460" w:type="dxa"/>
            <w:tcBorders>
              <w:top w:val="nil"/>
              <w:left w:val="nil"/>
              <w:bottom w:val="single" w:sz="4" w:space="0" w:color="auto"/>
              <w:right w:val="single" w:sz="4" w:space="0" w:color="auto"/>
            </w:tcBorders>
            <w:shd w:val="clear" w:color="auto" w:fill="auto"/>
            <w:noWrap/>
            <w:vAlign w:val="bottom"/>
            <w:hideMark/>
          </w:tcPr>
          <w:p w14:paraId="6A9EB862" w14:textId="77777777" w:rsidR="00C41769" w:rsidRPr="002F7590" w:rsidRDefault="00C41769" w:rsidP="00596106">
            <w:pPr>
              <w:spacing w:after="0"/>
              <w:jc w:val="center"/>
              <w:rPr>
                <w:sz w:val="20"/>
                <w:szCs w:val="20"/>
                <w:lang w:eastAsia="es-AR"/>
              </w:rPr>
            </w:pPr>
            <w:r w:rsidRPr="002F7590">
              <w:rPr>
                <w:sz w:val="20"/>
                <w:szCs w:val="20"/>
                <w:lang w:eastAsia="es-AR"/>
              </w:rPr>
              <w:t>0.1</w:t>
            </w:r>
            <w:r w:rsidR="00596106">
              <w:rPr>
                <w:sz w:val="20"/>
                <w:szCs w:val="20"/>
                <w:lang w:eastAsia="es-AR"/>
              </w:rPr>
              <w:t>97</w:t>
            </w:r>
          </w:p>
        </w:tc>
        <w:tc>
          <w:tcPr>
            <w:tcW w:w="839" w:type="dxa"/>
            <w:tcBorders>
              <w:top w:val="nil"/>
              <w:left w:val="nil"/>
              <w:bottom w:val="single" w:sz="4" w:space="0" w:color="auto"/>
              <w:right w:val="single" w:sz="8" w:space="0" w:color="auto"/>
            </w:tcBorders>
            <w:shd w:val="clear" w:color="auto" w:fill="auto"/>
            <w:noWrap/>
            <w:vAlign w:val="bottom"/>
            <w:hideMark/>
          </w:tcPr>
          <w:p w14:paraId="6614737F" w14:textId="7C567D26" w:rsidR="00C41769" w:rsidRPr="002F7590" w:rsidRDefault="003523B0" w:rsidP="003523B0">
            <w:pPr>
              <w:spacing w:after="0"/>
              <w:jc w:val="center"/>
              <w:rPr>
                <w:sz w:val="20"/>
                <w:szCs w:val="20"/>
                <w:lang w:eastAsia="es-AR"/>
              </w:rPr>
            </w:pPr>
            <w:r>
              <w:rPr>
                <w:sz w:val="20"/>
                <w:szCs w:val="20"/>
                <w:lang w:eastAsia="es-AR"/>
              </w:rPr>
              <w:t>3</w:t>
            </w:r>
            <w:r w:rsidR="00C41769" w:rsidRPr="002F7590">
              <w:rPr>
                <w:sz w:val="20"/>
                <w:szCs w:val="20"/>
                <w:lang w:eastAsia="es-AR"/>
              </w:rPr>
              <w:t>.</w:t>
            </w:r>
            <w:r>
              <w:rPr>
                <w:sz w:val="20"/>
                <w:szCs w:val="20"/>
                <w:lang w:eastAsia="es-AR"/>
              </w:rPr>
              <w:t>471</w:t>
            </w:r>
          </w:p>
        </w:tc>
      </w:tr>
      <w:tr w:rsidR="00C41769" w:rsidRPr="002F7590" w14:paraId="51D0B9C4" w14:textId="77777777" w:rsidTr="00483A0D">
        <w:trPr>
          <w:trHeight w:val="315"/>
        </w:trPr>
        <w:tc>
          <w:tcPr>
            <w:tcW w:w="852" w:type="dxa"/>
            <w:vMerge/>
            <w:tcBorders>
              <w:top w:val="nil"/>
              <w:left w:val="single" w:sz="8" w:space="0" w:color="auto"/>
              <w:bottom w:val="single" w:sz="8" w:space="0" w:color="000000"/>
              <w:right w:val="single" w:sz="8" w:space="0" w:color="auto"/>
            </w:tcBorders>
            <w:vAlign w:val="center"/>
            <w:hideMark/>
          </w:tcPr>
          <w:p w14:paraId="405E2B3F"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77ADEBAC" w14:textId="77777777" w:rsidR="00C41769" w:rsidRPr="002F7590" w:rsidRDefault="00C41769" w:rsidP="00557280">
            <w:pPr>
              <w:spacing w:after="0"/>
              <w:rPr>
                <w:sz w:val="20"/>
                <w:szCs w:val="20"/>
                <w:lang w:eastAsia="es-AR"/>
              </w:rPr>
            </w:pPr>
          </w:p>
        </w:tc>
        <w:tc>
          <w:tcPr>
            <w:tcW w:w="992" w:type="dxa"/>
            <w:tcBorders>
              <w:top w:val="nil"/>
              <w:left w:val="nil"/>
              <w:bottom w:val="single" w:sz="8" w:space="0" w:color="auto"/>
              <w:right w:val="single" w:sz="4" w:space="0" w:color="auto"/>
            </w:tcBorders>
            <w:shd w:val="clear" w:color="auto" w:fill="auto"/>
            <w:noWrap/>
            <w:vAlign w:val="bottom"/>
            <w:hideMark/>
          </w:tcPr>
          <w:p w14:paraId="663712E1" w14:textId="77777777" w:rsidR="00C41769" w:rsidRPr="002F7590" w:rsidRDefault="00C41769" w:rsidP="00557280">
            <w:pPr>
              <w:spacing w:after="0"/>
              <w:jc w:val="center"/>
              <w:rPr>
                <w:b/>
                <w:sz w:val="20"/>
                <w:szCs w:val="20"/>
                <w:lang w:eastAsia="es-AR"/>
              </w:rPr>
            </w:pPr>
            <w:r w:rsidRPr="002F7590">
              <w:rPr>
                <w:b/>
                <w:sz w:val="20"/>
                <w:szCs w:val="20"/>
                <w:lang w:eastAsia="es-AR"/>
              </w:rPr>
              <w:t>Gap</w:t>
            </w:r>
          </w:p>
        </w:tc>
        <w:tc>
          <w:tcPr>
            <w:tcW w:w="288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9DC2311" w14:textId="77777777" w:rsidR="00C41769" w:rsidRPr="002F7590" w:rsidRDefault="00C41769" w:rsidP="00557280">
            <w:pPr>
              <w:spacing w:after="0"/>
              <w:jc w:val="center"/>
              <w:rPr>
                <w:b/>
                <w:sz w:val="20"/>
                <w:szCs w:val="20"/>
                <w:lang w:eastAsia="es-AR"/>
              </w:rPr>
            </w:pPr>
          </w:p>
        </w:tc>
        <w:tc>
          <w:tcPr>
            <w:tcW w:w="1460" w:type="dxa"/>
            <w:tcBorders>
              <w:top w:val="nil"/>
              <w:left w:val="nil"/>
              <w:bottom w:val="single" w:sz="8" w:space="0" w:color="auto"/>
              <w:right w:val="single" w:sz="4" w:space="0" w:color="auto"/>
            </w:tcBorders>
            <w:shd w:val="clear" w:color="auto" w:fill="auto"/>
            <w:noWrap/>
            <w:vAlign w:val="bottom"/>
            <w:hideMark/>
          </w:tcPr>
          <w:p w14:paraId="3D3A4181" w14:textId="77777777" w:rsidR="00C41769" w:rsidRPr="002F7590" w:rsidRDefault="00C41769" w:rsidP="005324C9">
            <w:pPr>
              <w:spacing w:after="0"/>
              <w:jc w:val="center"/>
              <w:rPr>
                <w:b/>
                <w:sz w:val="20"/>
                <w:szCs w:val="20"/>
                <w:lang w:eastAsia="es-AR"/>
              </w:rPr>
            </w:pPr>
            <w:r w:rsidRPr="002F7590">
              <w:rPr>
                <w:b/>
                <w:sz w:val="20"/>
                <w:szCs w:val="20"/>
                <w:lang w:eastAsia="es-AR"/>
              </w:rPr>
              <w:t>0.1</w:t>
            </w:r>
            <w:r w:rsidR="005324C9">
              <w:rPr>
                <w:b/>
                <w:sz w:val="20"/>
                <w:szCs w:val="20"/>
                <w:lang w:eastAsia="es-AR"/>
              </w:rPr>
              <w:t>5</w:t>
            </w:r>
          </w:p>
        </w:tc>
        <w:tc>
          <w:tcPr>
            <w:tcW w:w="839" w:type="dxa"/>
            <w:tcBorders>
              <w:top w:val="nil"/>
              <w:left w:val="nil"/>
              <w:bottom w:val="single" w:sz="8" w:space="0" w:color="auto"/>
              <w:right w:val="single" w:sz="8" w:space="0" w:color="auto"/>
            </w:tcBorders>
            <w:shd w:val="clear" w:color="auto" w:fill="auto"/>
            <w:noWrap/>
            <w:vAlign w:val="bottom"/>
            <w:hideMark/>
          </w:tcPr>
          <w:p w14:paraId="7EEFD524" w14:textId="77777777" w:rsidR="00C41769" w:rsidRPr="002F7590" w:rsidRDefault="00C41769" w:rsidP="00557280">
            <w:pPr>
              <w:spacing w:after="0"/>
              <w:jc w:val="center"/>
              <w:rPr>
                <w:sz w:val="20"/>
                <w:szCs w:val="20"/>
                <w:lang w:eastAsia="es-AR"/>
              </w:rPr>
            </w:pPr>
          </w:p>
        </w:tc>
      </w:tr>
      <w:tr w:rsidR="00C41769" w:rsidRPr="002F7590" w14:paraId="45A0A8DB" w14:textId="77777777" w:rsidTr="00483A0D">
        <w:trPr>
          <w:trHeight w:val="75"/>
        </w:trPr>
        <w:tc>
          <w:tcPr>
            <w:tcW w:w="852" w:type="dxa"/>
            <w:vMerge/>
            <w:tcBorders>
              <w:top w:val="nil"/>
              <w:left w:val="single" w:sz="8" w:space="0" w:color="auto"/>
              <w:bottom w:val="single" w:sz="8" w:space="0" w:color="000000"/>
              <w:right w:val="single" w:sz="8" w:space="0" w:color="auto"/>
            </w:tcBorders>
            <w:vAlign w:val="center"/>
            <w:hideMark/>
          </w:tcPr>
          <w:p w14:paraId="4F737F6D" w14:textId="77777777" w:rsidR="00C41769" w:rsidRPr="002F7590" w:rsidRDefault="00C41769" w:rsidP="00557280">
            <w:pPr>
              <w:spacing w:after="0"/>
              <w:jc w:val="center"/>
              <w:rPr>
                <w:sz w:val="20"/>
                <w:szCs w:val="20"/>
                <w:lang w:eastAsia="es-AR"/>
              </w:rPr>
            </w:pP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CEC4FAB" w14:textId="77777777" w:rsidR="00C41769" w:rsidRPr="002F7590" w:rsidRDefault="00C41769" w:rsidP="00557280">
            <w:pPr>
              <w:spacing w:after="0"/>
              <w:rPr>
                <w:sz w:val="20"/>
                <w:szCs w:val="20"/>
                <w:lang w:eastAsia="es-AR"/>
              </w:rPr>
            </w:pPr>
            <w:r>
              <w:rPr>
                <w:sz w:val="20"/>
                <w:szCs w:val="20"/>
                <w:lang w:eastAsia="es-AR"/>
              </w:rPr>
              <w:t xml:space="preserve">3. </w:t>
            </w:r>
            <w:r w:rsidRPr="002F7590">
              <w:rPr>
                <w:sz w:val="20"/>
                <w:szCs w:val="20"/>
                <w:lang w:eastAsia="es-AR"/>
              </w:rPr>
              <w:t xml:space="preserve">High and Medium </w:t>
            </w:r>
            <w:proofErr w:type="spellStart"/>
            <w:r w:rsidRPr="002F7590">
              <w:rPr>
                <w:sz w:val="20"/>
                <w:szCs w:val="20"/>
                <w:lang w:eastAsia="es-AR"/>
              </w:rPr>
              <w:t>Tech</w:t>
            </w:r>
            <w:proofErr w:type="spellEnd"/>
          </w:p>
        </w:tc>
        <w:tc>
          <w:tcPr>
            <w:tcW w:w="617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30B90925" w14:textId="77777777" w:rsidR="00C41769" w:rsidRPr="002F7590" w:rsidRDefault="00C41769" w:rsidP="00557280">
            <w:pPr>
              <w:spacing w:after="0"/>
              <w:jc w:val="center"/>
              <w:rPr>
                <w:sz w:val="20"/>
                <w:szCs w:val="20"/>
                <w:lang w:eastAsia="es-AR"/>
              </w:rPr>
            </w:pPr>
          </w:p>
        </w:tc>
      </w:tr>
      <w:tr w:rsidR="00C41769" w:rsidRPr="002F7590" w14:paraId="63EB4D49"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3F7AC049"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632F8B7B"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3206DB28"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prod</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4C124F78" w14:textId="77777777" w:rsidR="00C41769" w:rsidRPr="002F7590" w:rsidRDefault="005324C9" w:rsidP="00557280">
            <w:pPr>
              <w:spacing w:after="0"/>
              <w:jc w:val="center"/>
              <w:rPr>
                <w:sz w:val="20"/>
                <w:szCs w:val="20"/>
                <w:lang w:eastAsia="es-AR"/>
              </w:rPr>
            </w:pPr>
            <w:r>
              <w:rPr>
                <w:sz w:val="20"/>
                <w:szCs w:val="20"/>
                <w:lang w:eastAsia="es-AR"/>
              </w:rPr>
              <w:t>454</w:t>
            </w:r>
          </w:p>
        </w:tc>
        <w:tc>
          <w:tcPr>
            <w:tcW w:w="1520" w:type="dxa"/>
            <w:tcBorders>
              <w:top w:val="nil"/>
              <w:left w:val="nil"/>
              <w:bottom w:val="single" w:sz="4" w:space="0" w:color="auto"/>
              <w:right w:val="single" w:sz="4" w:space="0" w:color="auto"/>
            </w:tcBorders>
            <w:shd w:val="clear" w:color="auto" w:fill="auto"/>
            <w:noWrap/>
            <w:vAlign w:val="bottom"/>
            <w:hideMark/>
          </w:tcPr>
          <w:p w14:paraId="757F8270" w14:textId="77777777" w:rsidR="00C41769" w:rsidRPr="002F7590" w:rsidRDefault="005324C9" w:rsidP="00557280">
            <w:pPr>
              <w:spacing w:after="0"/>
              <w:jc w:val="center"/>
              <w:rPr>
                <w:sz w:val="20"/>
                <w:szCs w:val="20"/>
                <w:lang w:eastAsia="es-AR"/>
              </w:rPr>
            </w:pPr>
            <w:r>
              <w:rPr>
                <w:sz w:val="20"/>
                <w:szCs w:val="20"/>
                <w:lang w:eastAsia="es-AR"/>
              </w:rPr>
              <w:t>242</w:t>
            </w:r>
          </w:p>
        </w:tc>
        <w:tc>
          <w:tcPr>
            <w:tcW w:w="1460" w:type="dxa"/>
            <w:tcBorders>
              <w:top w:val="nil"/>
              <w:left w:val="nil"/>
              <w:bottom w:val="single" w:sz="4" w:space="0" w:color="auto"/>
              <w:right w:val="single" w:sz="4" w:space="0" w:color="auto"/>
            </w:tcBorders>
            <w:shd w:val="clear" w:color="auto" w:fill="auto"/>
            <w:noWrap/>
            <w:vAlign w:val="bottom"/>
            <w:hideMark/>
          </w:tcPr>
          <w:p w14:paraId="37BBE658" w14:textId="77777777" w:rsidR="00C41769" w:rsidRPr="002F7590" w:rsidRDefault="00C41769" w:rsidP="005324C9">
            <w:pPr>
              <w:spacing w:after="0"/>
              <w:jc w:val="center"/>
              <w:rPr>
                <w:sz w:val="20"/>
                <w:szCs w:val="20"/>
                <w:lang w:eastAsia="es-AR"/>
              </w:rPr>
            </w:pPr>
            <w:r w:rsidRPr="002F7590">
              <w:rPr>
                <w:sz w:val="20"/>
                <w:szCs w:val="20"/>
                <w:lang w:eastAsia="es-AR"/>
              </w:rPr>
              <w:t>0.2</w:t>
            </w:r>
            <w:r w:rsidR="005324C9">
              <w:rPr>
                <w:sz w:val="20"/>
                <w:szCs w:val="20"/>
                <w:lang w:eastAsia="es-AR"/>
              </w:rPr>
              <w:t>08</w:t>
            </w:r>
          </w:p>
        </w:tc>
        <w:tc>
          <w:tcPr>
            <w:tcW w:w="839" w:type="dxa"/>
            <w:tcBorders>
              <w:top w:val="nil"/>
              <w:left w:val="nil"/>
              <w:bottom w:val="single" w:sz="4" w:space="0" w:color="auto"/>
              <w:right w:val="single" w:sz="8" w:space="0" w:color="auto"/>
            </w:tcBorders>
            <w:shd w:val="clear" w:color="auto" w:fill="auto"/>
            <w:noWrap/>
            <w:vAlign w:val="bottom"/>
            <w:hideMark/>
          </w:tcPr>
          <w:p w14:paraId="3E8087EC" w14:textId="77777777" w:rsidR="00C41769" w:rsidRPr="002F7590" w:rsidRDefault="00C41769" w:rsidP="005324C9">
            <w:pPr>
              <w:spacing w:after="0"/>
              <w:jc w:val="center"/>
              <w:rPr>
                <w:sz w:val="20"/>
                <w:szCs w:val="20"/>
                <w:lang w:eastAsia="es-AR"/>
              </w:rPr>
            </w:pPr>
            <w:r w:rsidRPr="002F7590">
              <w:rPr>
                <w:sz w:val="20"/>
                <w:szCs w:val="20"/>
                <w:lang w:eastAsia="es-AR"/>
              </w:rPr>
              <w:t>3.</w:t>
            </w:r>
            <w:r w:rsidR="005324C9">
              <w:rPr>
                <w:sz w:val="20"/>
                <w:szCs w:val="20"/>
                <w:lang w:eastAsia="es-AR"/>
              </w:rPr>
              <w:t>420</w:t>
            </w:r>
          </w:p>
        </w:tc>
      </w:tr>
      <w:tr w:rsidR="00C41769" w:rsidRPr="002F7590" w14:paraId="417171DB"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5500E094"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1DB47FA9"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30922D78"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wage</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72E71B79" w14:textId="77777777" w:rsidR="00C41769" w:rsidRPr="002F7590" w:rsidRDefault="005324C9" w:rsidP="00557280">
            <w:pPr>
              <w:spacing w:after="0"/>
              <w:jc w:val="center"/>
              <w:rPr>
                <w:sz w:val="20"/>
                <w:szCs w:val="20"/>
                <w:lang w:eastAsia="es-AR"/>
              </w:rPr>
            </w:pPr>
            <w:r>
              <w:rPr>
                <w:sz w:val="20"/>
                <w:szCs w:val="20"/>
                <w:lang w:eastAsia="es-AR"/>
              </w:rPr>
              <w:t>454</w:t>
            </w:r>
          </w:p>
        </w:tc>
        <w:tc>
          <w:tcPr>
            <w:tcW w:w="1520" w:type="dxa"/>
            <w:tcBorders>
              <w:top w:val="nil"/>
              <w:left w:val="nil"/>
              <w:bottom w:val="single" w:sz="4" w:space="0" w:color="auto"/>
              <w:right w:val="single" w:sz="4" w:space="0" w:color="auto"/>
            </w:tcBorders>
            <w:shd w:val="clear" w:color="auto" w:fill="auto"/>
            <w:noWrap/>
            <w:vAlign w:val="bottom"/>
            <w:hideMark/>
          </w:tcPr>
          <w:p w14:paraId="2715EAB8" w14:textId="77777777" w:rsidR="00C41769" w:rsidRPr="002F7590" w:rsidRDefault="005324C9" w:rsidP="00557280">
            <w:pPr>
              <w:spacing w:after="0"/>
              <w:jc w:val="center"/>
              <w:rPr>
                <w:sz w:val="20"/>
                <w:szCs w:val="20"/>
                <w:lang w:eastAsia="es-AR"/>
              </w:rPr>
            </w:pPr>
            <w:r>
              <w:rPr>
                <w:sz w:val="20"/>
                <w:szCs w:val="20"/>
                <w:lang w:eastAsia="es-AR"/>
              </w:rPr>
              <w:t>242</w:t>
            </w:r>
          </w:p>
        </w:tc>
        <w:tc>
          <w:tcPr>
            <w:tcW w:w="1460" w:type="dxa"/>
            <w:tcBorders>
              <w:top w:val="nil"/>
              <w:left w:val="nil"/>
              <w:bottom w:val="single" w:sz="4" w:space="0" w:color="auto"/>
              <w:right w:val="single" w:sz="4" w:space="0" w:color="auto"/>
            </w:tcBorders>
            <w:shd w:val="clear" w:color="auto" w:fill="auto"/>
            <w:noWrap/>
            <w:vAlign w:val="bottom"/>
            <w:hideMark/>
          </w:tcPr>
          <w:p w14:paraId="0EDA4EC4" w14:textId="77777777" w:rsidR="00C41769" w:rsidRPr="002F7590" w:rsidRDefault="00C41769" w:rsidP="005324C9">
            <w:pPr>
              <w:spacing w:after="0"/>
              <w:jc w:val="center"/>
              <w:rPr>
                <w:sz w:val="20"/>
                <w:szCs w:val="20"/>
                <w:lang w:eastAsia="es-AR"/>
              </w:rPr>
            </w:pPr>
            <w:r w:rsidRPr="002F7590">
              <w:rPr>
                <w:sz w:val="20"/>
                <w:szCs w:val="20"/>
                <w:lang w:eastAsia="es-AR"/>
              </w:rPr>
              <w:t>0.1</w:t>
            </w:r>
            <w:r w:rsidR="005324C9">
              <w:rPr>
                <w:sz w:val="20"/>
                <w:szCs w:val="20"/>
                <w:lang w:eastAsia="es-AR"/>
              </w:rPr>
              <w:t>83</w:t>
            </w:r>
          </w:p>
        </w:tc>
        <w:tc>
          <w:tcPr>
            <w:tcW w:w="839" w:type="dxa"/>
            <w:tcBorders>
              <w:top w:val="nil"/>
              <w:left w:val="nil"/>
              <w:bottom w:val="single" w:sz="4" w:space="0" w:color="auto"/>
              <w:right w:val="single" w:sz="8" w:space="0" w:color="auto"/>
            </w:tcBorders>
            <w:shd w:val="clear" w:color="auto" w:fill="auto"/>
            <w:noWrap/>
            <w:vAlign w:val="bottom"/>
            <w:hideMark/>
          </w:tcPr>
          <w:p w14:paraId="680C7856" w14:textId="77777777" w:rsidR="00C41769" w:rsidRPr="002F7590" w:rsidRDefault="005324C9" w:rsidP="005324C9">
            <w:pPr>
              <w:spacing w:after="0"/>
              <w:jc w:val="center"/>
              <w:rPr>
                <w:sz w:val="20"/>
                <w:szCs w:val="20"/>
                <w:lang w:eastAsia="es-AR"/>
              </w:rPr>
            </w:pPr>
            <w:r>
              <w:rPr>
                <w:sz w:val="20"/>
                <w:szCs w:val="20"/>
                <w:lang w:eastAsia="es-AR"/>
              </w:rPr>
              <w:t>3</w:t>
            </w:r>
            <w:r w:rsidR="00C41769" w:rsidRPr="002F7590">
              <w:rPr>
                <w:sz w:val="20"/>
                <w:szCs w:val="20"/>
                <w:lang w:eastAsia="es-AR"/>
              </w:rPr>
              <w:t>.</w:t>
            </w:r>
            <w:r>
              <w:rPr>
                <w:sz w:val="20"/>
                <w:szCs w:val="20"/>
                <w:lang w:eastAsia="es-AR"/>
              </w:rPr>
              <w:t>4</w:t>
            </w:r>
            <w:r w:rsidR="00C41769" w:rsidRPr="002F7590">
              <w:rPr>
                <w:sz w:val="20"/>
                <w:szCs w:val="20"/>
                <w:lang w:eastAsia="es-AR"/>
              </w:rPr>
              <w:t>6</w:t>
            </w:r>
            <w:r>
              <w:rPr>
                <w:sz w:val="20"/>
                <w:szCs w:val="20"/>
                <w:lang w:eastAsia="es-AR"/>
              </w:rPr>
              <w:t>0</w:t>
            </w:r>
          </w:p>
        </w:tc>
      </w:tr>
      <w:tr w:rsidR="00C41769" w:rsidRPr="002F7590" w14:paraId="308105AD" w14:textId="77777777" w:rsidTr="00483A0D">
        <w:trPr>
          <w:trHeight w:val="315"/>
        </w:trPr>
        <w:tc>
          <w:tcPr>
            <w:tcW w:w="852" w:type="dxa"/>
            <w:vMerge/>
            <w:tcBorders>
              <w:top w:val="nil"/>
              <w:left w:val="single" w:sz="8" w:space="0" w:color="auto"/>
              <w:bottom w:val="single" w:sz="8" w:space="0" w:color="000000"/>
              <w:right w:val="single" w:sz="8" w:space="0" w:color="auto"/>
            </w:tcBorders>
            <w:vAlign w:val="center"/>
            <w:hideMark/>
          </w:tcPr>
          <w:p w14:paraId="3829A6A4" w14:textId="77777777" w:rsidR="00C41769" w:rsidRPr="002F7590" w:rsidRDefault="00C41769" w:rsidP="00557280">
            <w:pPr>
              <w:spacing w:after="0"/>
              <w:jc w:val="center"/>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30EAB161" w14:textId="77777777" w:rsidR="00C41769" w:rsidRPr="002F7590" w:rsidRDefault="00C41769" w:rsidP="00557280">
            <w:pPr>
              <w:spacing w:after="0"/>
              <w:rPr>
                <w:sz w:val="20"/>
                <w:szCs w:val="20"/>
                <w:lang w:eastAsia="es-AR"/>
              </w:rPr>
            </w:pPr>
          </w:p>
        </w:tc>
        <w:tc>
          <w:tcPr>
            <w:tcW w:w="992" w:type="dxa"/>
            <w:tcBorders>
              <w:top w:val="nil"/>
              <w:left w:val="nil"/>
              <w:bottom w:val="single" w:sz="8" w:space="0" w:color="auto"/>
              <w:right w:val="single" w:sz="4" w:space="0" w:color="auto"/>
            </w:tcBorders>
            <w:shd w:val="clear" w:color="auto" w:fill="auto"/>
            <w:noWrap/>
            <w:vAlign w:val="bottom"/>
            <w:hideMark/>
          </w:tcPr>
          <w:p w14:paraId="36A39AE0" w14:textId="77777777" w:rsidR="00C41769" w:rsidRPr="002F7590" w:rsidRDefault="00C41769" w:rsidP="00557280">
            <w:pPr>
              <w:spacing w:after="0"/>
              <w:jc w:val="center"/>
              <w:rPr>
                <w:b/>
                <w:sz w:val="20"/>
                <w:szCs w:val="20"/>
                <w:lang w:eastAsia="es-AR"/>
              </w:rPr>
            </w:pPr>
            <w:r w:rsidRPr="002F7590">
              <w:rPr>
                <w:b/>
                <w:sz w:val="20"/>
                <w:szCs w:val="20"/>
                <w:lang w:eastAsia="es-AR"/>
              </w:rPr>
              <w:t>Gap</w:t>
            </w:r>
          </w:p>
        </w:tc>
        <w:tc>
          <w:tcPr>
            <w:tcW w:w="288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D79458A" w14:textId="77777777" w:rsidR="00C41769" w:rsidRPr="002F7590" w:rsidRDefault="00C41769" w:rsidP="00557280">
            <w:pPr>
              <w:spacing w:after="0"/>
              <w:jc w:val="center"/>
              <w:rPr>
                <w:b/>
                <w:sz w:val="20"/>
                <w:szCs w:val="20"/>
                <w:lang w:eastAsia="es-AR"/>
              </w:rPr>
            </w:pPr>
          </w:p>
        </w:tc>
        <w:tc>
          <w:tcPr>
            <w:tcW w:w="1460" w:type="dxa"/>
            <w:tcBorders>
              <w:top w:val="nil"/>
              <w:left w:val="nil"/>
              <w:bottom w:val="single" w:sz="8" w:space="0" w:color="auto"/>
              <w:right w:val="single" w:sz="4" w:space="0" w:color="auto"/>
            </w:tcBorders>
            <w:shd w:val="clear" w:color="auto" w:fill="auto"/>
            <w:noWrap/>
            <w:vAlign w:val="bottom"/>
            <w:hideMark/>
          </w:tcPr>
          <w:p w14:paraId="706D8184" w14:textId="1D0C123E" w:rsidR="00C41769" w:rsidRPr="002F7590" w:rsidRDefault="00C41769" w:rsidP="005324C9">
            <w:pPr>
              <w:spacing w:after="0"/>
              <w:jc w:val="center"/>
              <w:rPr>
                <w:b/>
                <w:sz w:val="20"/>
                <w:szCs w:val="20"/>
                <w:lang w:eastAsia="es-AR"/>
              </w:rPr>
            </w:pPr>
            <w:r w:rsidRPr="002F7590">
              <w:rPr>
                <w:b/>
                <w:sz w:val="20"/>
                <w:szCs w:val="20"/>
                <w:lang w:eastAsia="es-AR"/>
              </w:rPr>
              <w:t>0.2</w:t>
            </w:r>
          </w:p>
        </w:tc>
        <w:tc>
          <w:tcPr>
            <w:tcW w:w="839" w:type="dxa"/>
            <w:tcBorders>
              <w:top w:val="nil"/>
              <w:left w:val="nil"/>
              <w:bottom w:val="single" w:sz="8" w:space="0" w:color="auto"/>
              <w:right w:val="single" w:sz="8" w:space="0" w:color="auto"/>
            </w:tcBorders>
            <w:shd w:val="clear" w:color="auto" w:fill="auto"/>
            <w:noWrap/>
            <w:vAlign w:val="bottom"/>
            <w:hideMark/>
          </w:tcPr>
          <w:p w14:paraId="340EA29C" w14:textId="77777777" w:rsidR="00C41769" w:rsidRPr="002F7590" w:rsidRDefault="00C41769" w:rsidP="00557280">
            <w:pPr>
              <w:spacing w:after="0"/>
              <w:jc w:val="center"/>
              <w:rPr>
                <w:sz w:val="20"/>
                <w:szCs w:val="20"/>
                <w:lang w:eastAsia="es-AR"/>
              </w:rPr>
            </w:pPr>
          </w:p>
        </w:tc>
      </w:tr>
      <w:tr w:rsidR="00C41769" w:rsidRPr="00F927C9" w14:paraId="22702F97" w14:textId="77777777" w:rsidTr="00483A0D">
        <w:trPr>
          <w:trHeight w:val="75"/>
        </w:trPr>
        <w:tc>
          <w:tcPr>
            <w:tcW w:w="8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C390DE" w14:textId="77777777" w:rsidR="00C41769" w:rsidRPr="002F7590" w:rsidRDefault="00C41769" w:rsidP="00557280">
            <w:pPr>
              <w:spacing w:after="0"/>
              <w:jc w:val="center"/>
              <w:rPr>
                <w:sz w:val="20"/>
                <w:szCs w:val="20"/>
                <w:lang w:eastAsia="es-AR"/>
              </w:rPr>
            </w:pPr>
            <w:r w:rsidRPr="002F7590">
              <w:rPr>
                <w:sz w:val="20"/>
                <w:szCs w:val="20"/>
                <w:lang w:eastAsia="es-AR"/>
              </w:rPr>
              <w:t>H3</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9997861" w14:textId="77777777" w:rsidR="00C41769" w:rsidRPr="00FC3E17" w:rsidRDefault="00C41769" w:rsidP="00557280">
            <w:pPr>
              <w:spacing w:after="0"/>
              <w:rPr>
                <w:sz w:val="20"/>
                <w:szCs w:val="20"/>
                <w:lang w:val="en-US" w:eastAsia="es-AR"/>
              </w:rPr>
            </w:pPr>
            <w:r w:rsidRPr="00FC3E17">
              <w:rPr>
                <w:sz w:val="20"/>
                <w:szCs w:val="20"/>
                <w:lang w:val="en-US" w:eastAsia="es-AR"/>
              </w:rPr>
              <w:t xml:space="preserve">4. Collective bargain has led to </w:t>
            </w:r>
            <w:r w:rsidRPr="002F7590">
              <w:rPr>
                <w:sz w:val="20"/>
                <w:szCs w:val="20"/>
                <w:lang w:eastAsia="es-AR"/>
              </w:rPr>
              <w:t>Δ</w:t>
            </w:r>
            <w:r w:rsidRPr="00FC3E17">
              <w:rPr>
                <w:sz w:val="20"/>
                <w:szCs w:val="20"/>
                <w:lang w:val="en-US" w:eastAsia="es-AR"/>
              </w:rPr>
              <w:t xml:space="preserve"> Wages below average</w:t>
            </w:r>
          </w:p>
        </w:tc>
        <w:tc>
          <w:tcPr>
            <w:tcW w:w="617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1FABF203" w14:textId="77777777" w:rsidR="00C41769" w:rsidRPr="00FC3E17" w:rsidRDefault="00C41769" w:rsidP="00557280">
            <w:pPr>
              <w:spacing w:after="0"/>
              <w:jc w:val="center"/>
              <w:rPr>
                <w:sz w:val="20"/>
                <w:szCs w:val="20"/>
                <w:lang w:val="en-US" w:eastAsia="es-AR"/>
              </w:rPr>
            </w:pPr>
          </w:p>
        </w:tc>
      </w:tr>
      <w:tr w:rsidR="00C41769" w:rsidRPr="002F7590" w14:paraId="5C2427EA"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44DE66CF" w14:textId="77777777" w:rsidR="00C41769" w:rsidRPr="00FC3E17" w:rsidRDefault="00C41769" w:rsidP="00557280">
            <w:pPr>
              <w:spacing w:after="0"/>
              <w:rPr>
                <w:sz w:val="20"/>
                <w:szCs w:val="20"/>
                <w:lang w:val="en-US"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231ADA75" w14:textId="77777777" w:rsidR="00C41769" w:rsidRPr="00FC3E17" w:rsidRDefault="00C41769" w:rsidP="00557280">
            <w:pPr>
              <w:spacing w:after="0"/>
              <w:rPr>
                <w:sz w:val="20"/>
                <w:szCs w:val="20"/>
                <w:lang w:val="en-US"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583B8A60"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prod</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7F3876D6" w14:textId="5B413070" w:rsidR="00C41769" w:rsidRPr="002F7590" w:rsidRDefault="00626C4C" w:rsidP="00557280">
            <w:pPr>
              <w:spacing w:after="0"/>
              <w:jc w:val="center"/>
              <w:rPr>
                <w:sz w:val="20"/>
                <w:szCs w:val="20"/>
                <w:lang w:eastAsia="es-AR"/>
              </w:rPr>
            </w:pPr>
            <w:r>
              <w:rPr>
                <w:sz w:val="20"/>
                <w:szCs w:val="20"/>
                <w:lang w:eastAsia="es-AR"/>
              </w:rPr>
              <w:t>510</w:t>
            </w:r>
          </w:p>
        </w:tc>
        <w:tc>
          <w:tcPr>
            <w:tcW w:w="1520" w:type="dxa"/>
            <w:tcBorders>
              <w:top w:val="nil"/>
              <w:left w:val="nil"/>
              <w:bottom w:val="single" w:sz="4" w:space="0" w:color="auto"/>
              <w:right w:val="single" w:sz="4" w:space="0" w:color="auto"/>
            </w:tcBorders>
            <w:shd w:val="clear" w:color="auto" w:fill="auto"/>
            <w:noWrap/>
            <w:vAlign w:val="bottom"/>
            <w:hideMark/>
          </w:tcPr>
          <w:p w14:paraId="3433FA83" w14:textId="36758F96" w:rsidR="00C41769" w:rsidRPr="002F7590" w:rsidRDefault="00626C4C" w:rsidP="00557280">
            <w:pPr>
              <w:spacing w:after="0"/>
              <w:jc w:val="center"/>
              <w:rPr>
                <w:sz w:val="20"/>
                <w:szCs w:val="20"/>
                <w:lang w:eastAsia="es-AR"/>
              </w:rPr>
            </w:pPr>
            <w:r>
              <w:rPr>
                <w:sz w:val="20"/>
                <w:szCs w:val="20"/>
                <w:lang w:eastAsia="es-AR"/>
              </w:rPr>
              <w:t>337</w:t>
            </w:r>
          </w:p>
        </w:tc>
        <w:tc>
          <w:tcPr>
            <w:tcW w:w="1460" w:type="dxa"/>
            <w:tcBorders>
              <w:top w:val="nil"/>
              <w:left w:val="nil"/>
              <w:bottom w:val="single" w:sz="4" w:space="0" w:color="auto"/>
              <w:right w:val="single" w:sz="4" w:space="0" w:color="auto"/>
            </w:tcBorders>
            <w:shd w:val="clear" w:color="auto" w:fill="auto"/>
            <w:noWrap/>
            <w:vAlign w:val="bottom"/>
            <w:hideMark/>
          </w:tcPr>
          <w:p w14:paraId="491E365A" w14:textId="73249CAD" w:rsidR="00C41769" w:rsidRPr="002F7590" w:rsidRDefault="00626C4C" w:rsidP="00557280">
            <w:pPr>
              <w:spacing w:after="0"/>
              <w:jc w:val="center"/>
              <w:rPr>
                <w:sz w:val="20"/>
                <w:szCs w:val="20"/>
                <w:lang w:eastAsia="es-AR"/>
              </w:rPr>
            </w:pPr>
            <w:r>
              <w:rPr>
                <w:sz w:val="20"/>
                <w:szCs w:val="20"/>
                <w:lang w:eastAsia="es-AR"/>
              </w:rPr>
              <w:t>0.2</w:t>
            </w:r>
            <w:r w:rsidR="002316A5">
              <w:rPr>
                <w:sz w:val="20"/>
                <w:szCs w:val="20"/>
                <w:lang w:eastAsia="es-AR"/>
              </w:rPr>
              <w:t>87</w:t>
            </w:r>
          </w:p>
        </w:tc>
        <w:tc>
          <w:tcPr>
            <w:tcW w:w="839" w:type="dxa"/>
            <w:tcBorders>
              <w:top w:val="nil"/>
              <w:left w:val="nil"/>
              <w:bottom w:val="single" w:sz="4" w:space="0" w:color="auto"/>
              <w:right w:val="single" w:sz="8" w:space="0" w:color="auto"/>
            </w:tcBorders>
            <w:shd w:val="clear" w:color="auto" w:fill="auto"/>
            <w:noWrap/>
            <w:vAlign w:val="bottom"/>
            <w:hideMark/>
          </w:tcPr>
          <w:p w14:paraId="2717EE78" w14:textId="2EC96D7A" w:rsidR="00C41769" w:rsidRPr="002F7590" w:rsidRDefault="00626C4C" w:rsidP="00557280">
            <w:pPr>
              <w:spacing w:after="0"/>
              <w:jc w:val="center"/>
              <w:rPr>
                <w:sz w:val="20"/>
                <w:szCs w:val="20"/>
                <w:lang w:eastAsia="es-AR"/>
              </w:rPr>
            </w:pPr>
            <w:r>
              <w:rPr>
                <w:sz w:val="20"/>
                <w:szCs w:val="20"/>
                <w:lang w:eastAsia="es-AR"/>
              </w:rPr>
              <w:t>4.102</w:t>
            </w:r>
          </w:p>
        </w:tc>
      </w:tr>
      <w:tr w:rsidR="00626C4C" w:rsidRPr="002F7590" w14:paraId="577FA40B"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721C304B" w14:textId="77777777" w:rsidR="00626C4C" w:rsidRPr="002F7590" w:rsidRDefault="00626C4C" w:rsidP="00557280">
            <w:pPr>
              <w:spacing w:after="0"/>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3E75A9DA" w14:textId="77777777" w:rsidR="00626C4C" w:rsidRPr="002F7590" w:rsidRDefault="00626C4C"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4301ECBB" w14:textId="77777777" w:rsidR="00626C4C" w:rsidRPr="002F7590" w:rsidRDefault="00626C4C"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wage</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3BE3A849" w14:textId="58CDDCEC" w:rsidR="00626C4C" w:rsidRPr="002F7590" w:rsidRDefault="00626C4C" w:rsidP="00557280">
            <w:pPr>
              <w:spacing w:after="0"/>
              <w:jc w:val="center"/>
              <w:rPr>
                <w:sz w:val="20"/>
                <w:szCs w:val="20"/>
                <w:lang w:eastAsia="es-AR"/>
              </w:rPr>
            </w:pPr>
            <w:r>
              <w:rPr>
                <w:sz w:val="20"/>
                <w:szCs w:val="20"/>
                <w:lang w:eastAsia="es-AR"/>
              </w:rPr>
              <w:t>510</w:t>
            </w:r>
          </w:p>
        </w:tc>
        <w:tc>
          <w:tcPr>
            <w:tcW w:w="1520" w:type="dxa"/>
            <w:tcBorders>
              <w:top w:val="nil"/>
              <w:left w:val="nil"/>
              <w:bottom w:val="single" w:sz="4" w:space="0" w:color="auto"/>
              <w:right w:val="single" w:sz="4" w:space="0" w:color="auto"/>
            </w:tcBorders>
            <w:shd w:val="clear" w:color="auto" w:fill="auto"/>
            <w:noWrap/>
            <w:vAlign w:val="bottom"/>
            <w:hideMark/>
          </w:tcPr>
          <w:p w14:paraId="27BBD702" w14:textId="7E851D0F" w:rsidR="00626C4C" w:rsidRPr="002F7590" w:rsidRDefault="00626C4C" w:rsidP="00557280">
            <w:pPr>
              <w:spacing w:after="0"/>
              <w:jc w:val="center"/>
              <w:rPr>
                <w:sz w:val="20"/>
                <w:szCs w:val="20"/>
                <w:lang w:eastAsia="es-AR"/>
              </w:rPr>
            </w:pPr>
            <w:r>
              <w:rPr>
                <w:sz w:val="20"/>
                <w:szCs w:val="20"/>
                <w:lang w:eastAsia="es-AR"/>
              </w:rPr>
              <w:t>337</w:t>
            </w:r>
          </w:p>
        </w:tc>
        <w:tc>
          <w:tcPr>
            <w:tcW w:w="1460" w:type="dxa"/>
            <w:tcBorders>
              <w:top w:val="nil"/>
              <w:left w:val="nil"/>
              <w:bottom w:val="single" w:sz="4" w:space="0" w:color="auto"/>
              <w:right w:val="single" w:sz="4" w:space="0" w:color="auto"/>
            </w:tcBorders>
            <w:shd w:val="clear" w:color="auto" w:fill="auto"/>
            <w:noWrap/>
            <w:vAlign w:val="bottom"/>
            <w:hideMark/>
          </w:tcPr>
          <w:p w14:paraId="6C341D13" w14:textId="59DC6398" w:rsidR="00626C4C" w:rsidRPr="002F7590" w:rsidRDefault="00626C4C" w:rsidP="00557280">
            <w:pPr>
              <w:spacing w:after="0"/>
              <w:jc w:val="center"/>
              <w:rPr>
                <w:sz w:val="20"/>
                <w:szCs w:val="20"/>
                <w:lang w:eastAsia="es-AR"/>
              </w:rPr>
            </w:pPr>
            <w:r>
              <w:rPr>
                <w:sz w:val="20"/>
                <w:szCs w:val="20"/>
                <w:lang w:eastAsia="es-AR"/>
              </w:rPr>
              <w:t>0.20</w:t>
            </w:r>
            <w:r w:rsidR="002316A5">
              <w:rPr>
                <w:sz w:val="20"/>
                <w:szCs w:val="20"/>
                <w:lang w:eastAsia="es-AR"/>
              </w:rPr>
              <w:t>3</w:t>
            </w:r>
          </w:p>
        </w:tc>
        <w:tc>
          <w:tcPr>
            <w:tcW w:w="839" w:type="dxa"/>
            <w:tcBorders>
              <w:top w:val="nil"/>
              <w:left w:val="nil"/>
              <w:bottom w:val="single" w:sz="4" w:space="0" w:color="auto"/>
              <w:right w:val="single" w:sz="8" w:space="0" w:color="auto"/>
            </w:tcBorders>
            <w:shd w:val="clear" w:color="auto" w:fill="auto"/>
            <w:noWrap/>
            <w:vAlign w:val="bottom"/>
            <w:hideMark/>
          </w:tcPr>
          <w:p w14:paraId="264C4855" w14:textId="43FD91E9" w:rsidR="00626C4C" w:rsidRPr="002F7590" w:rsidRDefault="00626C4C" w:rsidP="00626C4C">
            <w:pPr>
              <w:spacing w:after="0"/>
              <w:jc w:val="center"/>
              <w:rPr>
                <w:sz w:val="20"/>
                <w:szCs w:val="20"/>
                <w:lang w:eastAsia="es-AR"/>
              </w:rPr>
            </w:pPr>
            <w:r>
              <w:rPr>
                <w:sz w:val="20"/>
                <w:szCs w:val="20"/>
                <w:lang w:eastAsia="es-AR"/>
              </w:rPr>
              <w:t>4</w:t>
            </w:r>
            <w:r w:rsidRPr="002F7590">
              <w:rPr>
                <w:sz w:val="20"/>
                <w:szCs w:val="20"/>
                <w:lang w:eastAsia="es-AR"/>
              </w:rPr>
              <w:t>.</w:t>
            </w:r>
            <w:r>
              <w:rPr>
                <w:sz w:val="20"/>
                <w:szCs w:val="20"/>
                <w:lang w:eastAsia="es-AR"/>
              </w:rPr>
              <w:t>240</w:t>
            </w:r>
          </w:p>
        </w:tc>
      </w:tr>
      <w:tr w:rsidR="00C41769" w:rsidRPr="002F7590" w14:paraId="657921DF" w14:textId="77777777" w:rsidTr="00483A0D">
        <w:trPr>
          <w:trHeight w:val="315"/>
        </w:trPr>
        <w:tc>
          <w:tcPr>
            <w:tcW w:w="852" w:type="dxa"/>
            <w:vMerge/>
            <w:tcBorders>
              <w:top w:val="nil"/>
              <w:left w:val="single" w:sz="8" w:space="0" w:color="auto"/>
              <w:bottom w:val="single" w:sz="8" w:space="0" w:color="000000"/>
              <w:right w:val="single" w:sz="8" w:space="0" w:color="auto"/>
            </w:tcBorders>
            <w:vAlign w:val="center"/>
            <w:hideMark/>
          </w:tcPr>
          <w:p w14:paraId="56C5188E" w14:textId="77777777" w:rsidR="00C41769" w:rsidRPr="002F7590" w:rsidRDefault="00C41769" w:rsidP="00557280">
            <w:pPr>
              <w:spacing w:after="0"/>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624BE244" w14:textId="77777777" w:rsidR="00C41769" w:rsidRPr="002F7590" w:rsidRDefault="00C41769" w:rsidP="00557280">
            <w:pPr>
              <w:spacing w:after="0"/>
              <w:rPr>
                <w:sz w:val="20"/>
                <w:szCs w:val="20"/>
                <w:lang w:eastAsia="es-AR"/>
              </w:rPr>
            </w:pPr>
          </w:p>
        </w:tc>
        <w:tc>
          <w:tcPr>
            <w:tcW w:w="992" w:type="dxa"/>
            <w:tcBorders>
              <w:top w:val="nil"/>
              <w:left w:val="nil"/>
              <w:bottom w:val="single" w:sz="8" w:space="0" w:color="auto"/>
              <w:right w:val="single" w:sz="4" w:space="0" w:color="auto"/>
            </w:tcBorders>
            <w:shd w:val="clear" w:color="auto" w:fill="auto"/>
            <w:noWrap/>
            <w:vAlign w:val="bottom"/>
            <w:hideMark/>
          </w:tcPr>
          <w:p w14:paraId="14342D03" w14:textId="77777777" w:rsidR="00C41769" w:rsidRPr="002F7590" w:rsidRDefault="00C41769" w:rsidP="00557280">
            <w:pPr>
              <w:spacing w:after="0"/>
              <w:jc w:val="center"/>
              <w:rPr>
                <w:b/>
                <w:sz w:val="20"/>
                <w:szCs w:val="20"/>
                <w:lang w:eastAsia="es-AR"/>
              </w:rPr>
            </w:pPr>
            <w:r w:rsidRPr="002F7590">
              <w:rPr>
                <w:b/>
                <w:sz w:val="20"/>
                <w:szCs w:val="20"/>
                <w:lang w:eastAsia="es-AR"/>
              </w:rPr>
              <w:t>Gap</w:t>
            </w:r>
          </w:p>
        </w:tc>
        <w:tc>
          <w:tcPr>
            <w:tcW w:w="288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0AF8B8E" w14:textId="77777777" w:rsidR="00C41769" w:rsidRPr="002F7590" w:rsidRDefault="00C41769" w:rsidP="00557280">
            <w:pPr>
              <w:spacing w:after="0"/>
              <w:jc w:val="center"/>
              <w:rPr>
                <w:b/>
                <w:sz w:val="20"/>
                <w:szCs w:val="20"/>
                <w:lang w:eastAsia="es-AR"/>
              </w:rPr>
            </w:pPr>
          </w:p>
        </w:tc>
        <w:tc>
          <w:tcPr>
            <w:tcW w:w="1460" w:type="dxa"/>
            <w:tcBorders>
              <w:top w:val="nil"/>
              <w:left w:val="nil"/>
              <w:bottom w:val="single" w:sz="8" w:space="0" w:color="auto"/>
              <w:right w:val="single" w:sz="4" w:space="0" w:color="auto"/>
            </w:tcBorders>
            <w:shd w:val="clear" w:color="auto" w:fill="auto"/>
            <w:noWrap/>
            <w:vAlign w:val="bottom"/>
            <w:hideMark/>
          </w:tcPr>
          <w:p w14:paraId="59899AA7" w14:textId="147B1243" w:rsidR="00C41769" w:rsidRPr="002F7590" w:rsidRDefault="00626C4C" w:rsidP="00557280">
            <w:pPr>
              <w:spacing w:after="0"/>
              <w:jc w:val="center"/>
              <w:rPr>
                <w:b/>
                <w:sz w:val="20"/>
                <w:szCs w:val="20"/>
                <w:lang w:eastAsia="es-AR"/>
              </w:rPr>
            </w:pPr>
            <w:r>
              <w:rPr>
                <w:b/>
                <w:sz w:val="20"/>
                <w:szCs w:val="20"/>
                <w:lang w:eastAsia="es-AR"/>
              </w:rPr>
              <w:t>0.09</w:t>
            </w:r>
          </w:p>
        </w:tc>
        <w:tc>
          <w:tcPr>
            <w:tcW w:w="839" w:type="dxa"/>
            <w:tcBorders>
              <w:top w:val="nil"/>
              <w:left w:val="nil"/>
              <w:bottom w:val="single" w:sz="8" w:space="0" w:color="auto"/>
              <w:right w:val="single" w:sz="8" w:space="0" w:color="auto"/>
            </w:tcBorders>
            <w:shd w:val="clear" w:color="auto" w:fill="auto"/>
            <w:noWrap/>
            <w:vAlign w:val="bottom"/>
            <w:hideMark/>
          </w:tcPr>
          <w:p w14:paraId="0EFEF13B" w14:textId="77777777" w:rsidR="00C41769" w:rsidRPr="002F7590" w:rsidRDefault="00C41769" w:rsidP="00557280">
            <w:pPr>
              <w:spacing w:after="0"/>
              <w:jc w:val="center"/>
              <w:rPr>
                <w:sz w:val="20"/>
                <w:szCs w:val="20"/>
                <w:lang w:eastAsia="es-AR"/>
              </w:rPr>
            </w:pPr>
          </w:p>
        </w:tc>
      </w:tr>
      <w:tr w:rsidR="00C41769" w:rsidRPr="00F927C9" w14:paraId="6C0536BC" w14:textId="77777777" w:rsidTr="00483A0D">
        <w:trPr>
          <w:trHeight w:val="105"/>
        </w:trPr>
        <w:tc>
          <w:tcPr>
            <w:tcW w:w="852" w:type="dxa"/>
            <w:vMerge/>
            <w:tcBorders>
              <w:top w:val="nil"/>
              <w:left w:val="single" w:sz="8" w:space="0" w:color="auto"/>
              <w:bottom w:val="single" w:sz="8" w:space="0" w:color="000000"/>
              <w:right w:val="single" w:sz="8" w:space="0" w:color="auto"/>
            </w:tcBorders>
            <w:vAlign w:val="center"/>
            <w:hideMark/>
          </w:tcPr>
          <w:p w14:paraId="7315661D" w14:textId="77777777" w:rsidR="00C41769" w:rsidRPr="002F7590" w:rsidRDefault="00C41769" w:rsidP="00557280">
            <w:pPr>
              <w:spacing w:after="0"/>
              <w:rPr>
                <w:sz w:val="20"/>
                <w:szCs w:val="20"/>
                <w:lang w:eastAsia="es-AR"/>
              </w:rPr>
            </w:pP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6FB5B47" w14:textId="77777777" w:rsidR="00C41769" w:rsidRPr="00FC3E17" w:rsidRDefault="00C41769" w:rsidP="00557280">
            <w:pPr>
              <w:spacing w:after="0"/>
              <w:rPr>
                <w:sz w:val="20"/>
                <w:szCs w:val="20"/>
                <w:lang w:val="en-US" w:eastAsia="es-AR"/>
              </w:rPr>
            </w:pPr>
            <w:r w:rsidRPr="00FC3E17">
              <w:rPr>
                <w:sz w:val="20"/>
                <w:szCs w:val="20"/>
                <w:lang w:val="en-US" w:eastAsia="es-AR"/>
              </w:rPr>
              <w:t xml:space="preserve">5. Collective bargain has led to </w:t>
            </w:r>
            <w:r w:rsidRPr="002F7590">
              <w:rPr>
                <w:sz w:val="20"/>
                <w:szCs w:val="20"/>
                <w:lang w:eastAsia="es-AR"/>
              </w:rPr>
              <w:t>Δ</w:t>
            </w:r>
            <w:r w:rsidRPr="00FC3E17">
              <w:rPr>
                <w:sz w:val="20"/>
                <w:szCs w:val="20"/>
                <w:lang w:val="en-US" w:eastAsia="es-AR"/>
              </w:rPr>
              <w:t xml:space="preserve"> Wages above average</w:t>
            </w:r>
          </w:p>
        </w:tc>
        <w:tc>
          <w:tcPr>
            <w:tcW w:w="617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43E96645" w14:textId="77777777" w:rsidR="00C41769" w:rsidRPr="00FC3E17" w:rsidRDefault="00C41769" w:rsidP="00557280">
            <w:pPr>
              <w:spacing w:after="0"/>
              <w:jc w:val="center"/>
              <w:rPr>
                <w:sz w:val="20"/>
                <w:szCs w:val="20"/>
                <w:lang w:val="en-US" w:eastAsia="es-AR"/>
              </w:rPr>
            </w:pPr>
          </w:p>
        </w:tc>
      </w:tr>
      <w:tr w:rsidR="00C41769" w:rsidRPr="002F7590" w14:paraId="5C99FC85"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1F11CA0D" w14:textId="77777777" w:rsidR="00C41769" w:rsidRPr="00FC3E17" w:rsidRDefault="00C41769" w:rsidP="00557280">
            <w:pPr>
              <w:spacing w:after="0"/>
              <w:rPr>
                <w:sz w:val="20"/>
                <w:szCs w:val="20"/>
                <w:lang w:val="en-US"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08812307" w14:textId="77777777" w:rsidR="00C41769" w:rsidRPr="00FC3E17" w:rsidRDefault="00C41769" w:rsidP="00557280">
            <w:pPr>
              <w:spacing w:after="0"/>
              <w:rPr>
                <w:sz w:val="20"/>
                <w:szCs w:val="20"/>
                <w:lang w:val="en-US"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5D296FE6"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prod</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19B6B8C7" w14:textId="5B05AFBB" w:rsidR="00C41769" w:rsidRPr="002F7590" w:rsidRDefault="006327BA" w:rsidP="00557280">
            <w:pPr>
              <w:spacing w:after="0"/>
              <w:jc w:val="center"/>
              <w:rPr>
                <w:sz w:val="20"/>
                <w:szCs w:val="20"/>
                <w:lang w:eastAsia="es-AR"/>
              </w:rPr>
            </w:pPr>
            <w:r>
              <w:rPr>
                <w:sz w:val="20"/>
                <w:szCs w:val="20"/>
                <w:lang w:eastAsia="es-AR"/>
              </w:rPr>
              <w:t>313</w:t>
            </w:r>
          </w:p>
        </w:tc>
        <w:tc>
          <w:tcPr>
            <w:tcW w:w="1520" w:type="dxa"/>
            <w:tcBorders>
              <w:top w:val="nil"/>
              <w:left w:val="nil"/>
              <w:bottom w:val="single" w:sz="4" w:space="0" w:color="auto"/>
              <w:right w:val="single" w:sz="4" w:space="0" w:color="auto"/>
            </w:tcBorders>
            <w:shd w:val="clear" w:color="auto" w:fill="auto"/>
            <w:noWrap/>
            <w:vAlign w:val="bottom"/>
            <w:hideMark/>
          </w:tcPr>
          <w:p w14:paraId="11DB6531" w14:textId="6A0E7383" w:rsidR="00C41769" w:rsidRPr="002F7590" w:rsidRDefault="006327BA" w:rsidP="00557280">
            <w:pPr>
              <w:spacing w:after="0"/>
              <w:jc w:val="center"/>
              <w:rPr>
                <w:sz w:val="20"/>
                <w:szCs w:val="20"/>
                <w:lang w:eastAsia="es-AR"/>
              </w:rPr>
            </w:pPr>
            <w:r>
              <w:rPr>
                <w:sz w:val="20"/>
                <w:szCs w:val="20"/>
                <w:lang w:eastAsia="es-AR"/>
              </w:rPr>
              <w:t>163</w:t>
            </w:r>
          </w:p>
        </w:tc>
        <w:tc>
          <w:tcPr>
            <w:tcW w:w="1460" w:type="dxa"/>
            <w:tcBorders>
              <w:top w:val="nil"/>
              <w:left w:val="nil"/>
              <w:bottom w:val="single" w:sz="4" w:space="0" w:color="auto"/>
              <w:right w:val="single" w:sz="4" w:space="0" w:color="auto"/>
            </w:tcBorders>
            <w:shd w:val="clear" w:color="auto" w:fill="auto"/>
            <w:noWrap/>
            <w:vAlign w:val="bottom"/>
            <w:hideMark/>
          </w:tcPr>
          <w:p w14:paraId="28C5B370" w14:textId="0C37B7E0" w:rsidR="00C41769" w:rsidRPr="002F7590" w:rsidRDefault="00C41769" w:rsidP="006327BA">
            <w:pPr>
              <w:spacing w:after="0"/>
              <w:jc w:val="center"/>
              <w:rPr>
                <w:sz w:val="20"/>
                <w:szCs w:val="20"/>
                <w:lang w:eastAsia="es-AR"/>
              </w:rPr>
            </w:pPr>
            <w:r w:rsidRPr="002F7590">
              <w:rPr>
                <w:sz w:val="20"/>
                <w:szCs w:val="20"/>
                <w:lang w:eastAsia="es-AR"/>
              </w:rPr>
              <w:t>0.</w:t>
            </w:r>
            <w:r w:rsidR="006327BA">
              <w:rPr>
                <w:sz w:val="20"/>
                <w:szCs w:val="20"/>
                <w:lang w:eastAsia="es-AR"/>
              </w:rPr>
              <w:t>26</w:t>
            </w:r>
            <w:r w:rsidR="002316A5">
              <w:rPr>
                <w:sz w:val="20"/>
                <w:szCs w:val="20"/>
                <w:lang w:eastAsia="es-AR"/>
              </w:rPr>
              <w:t>0</w:t>
            </w:r>
          </w:p>
        </w:tc>
        <w:tc>
          <w:tcPr>
            <w:tcW w:w="839" w:type="dxa"/>
            <w:tcBorders>
              <w:top w:val="nil"/>
              <w:left w:val="nil"/>
              <w:bottom w:val="single" w:sz="4" w:space="0" w:color="auto"/>
              <w:right w:val="single" w:sz="8" w:space="0" w:color="auto"/>
            </w:tcBorders>
            <w:shd w:val="clear" w:color="auto" w:fill="auto"/>
            <w:noWrap/>
            <w:vAlign w:val="bottom"/>
            <w:hideMark/>
          </w:tcPr>
          <w:p w14:paraId="438190BA" w14:textId="5E9B95FA" w:rsidR="00C41769" w:rsidRPr="002F7590" w:rsidRDefault="006327BA" w:rsidP="006327BA">
            <w:pPr>
              <w:spacing w:after="0"/>
              <w:jc w:val="center"/>
              <w:rPr>
                <w:sz w:val="20"/>
                <w:szCs w:val="20"/>
                <w:lang w:eastAsia="es-AR"/>
              </w:rPr>
            </w:pPr>
            <w:r>
              <w:rPr>
                <w:sz w:val="20"/>
                <w:szCs w:val="20"/>
                <w:lang w:eastAsia="es-AR"/>
              </w:rPr>
              <w:t>3.</w:t>
            </w:r>
            <w:r w:rsidR="002316A5">
              <w:rPr>
                <w:sz w:val="20"/>
                <w:szCs w:val="20"/>
                <w:lang w:eastAsia="es-AR"/>
              </w:rPr>
              <w:t>274</w:t>
            </w:r>
          </w:p>
        </w:tc>
      </w:tr>
      <w:tr w:rsidR="00C41769" w:rsidRPr="002F7590" w14:paraId="32849C54" w14:textId="77777777" w:rsidTr="00483A0D">
        <w:trPr>
          <w:trHeight w:val="300"/>
        </w:trPr>
        <w:tc>
          <w:tcPr>
            <w:tcW w:w="852" w:type="dxa"/>
            <w:vMerge/>
            <w:tcBorders>
              <w:top w:val="nil"/>
              <w:left w:val="single" w:sz="8" w:space="0" w:color="auto"/>
              <w:bottom w:val="single" w:sz="8" w:space="0" w:color="000000"/>
              <w:right w:val="single" w:sz="8" w:space="0" w:color="auto"/>
            </w:tcBorders>
            <w:vAlign w:val="center"/>
            <w:hideMark/>
          </w:tcPr>
          <w:p w14:paraId="1A796910" w14:textId="77777777" w:rsidR="00C41769" w:rsidRPr="002F7590" w:rsidRDefault="00C41769" w:rsidP="00557280">
            <w:pPr>
              <w:spacing w:after="0"/>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3EC0501F" w14:textId="77777777" w:rsidR="00C41769" w:rsidRPr="002F7590" w:rsidRDefault="00C41769" w:rsidP="00557280">
            <w:pPr>
              <w:spacing w:after="0"/>
              <w:rPr>
                <w:sz w:val="20"/>
                <w:szCs w:val="20"/>
                <w:lang w:eastAsia="es-AR"/>
              </w:rPr>
            </w:pPr>
          </w:p>
        </w:tc>
        <w:tc>
          <w:tcPr>
            <w:tcW w:w="992" w:type="dxa"/>
            <w:tcBorders>
              <w:top w:val="nil"/>
              <w:left w:val="nil"/>
              <w:bottom w:val="single" w:sz="4" w:space="0" w:color="auto"/>
              <w:right w:val="single" w:sz="4" w:space="0" w:color="auto"/>
            </w:tcBorders>
            <w:shd w:val="clear" w:color="auto" w:fill="auto"/>
            <w:noWrap/>
            <w:vAlign w:val="bottom"/>
            <w:hideMark/>
          </w:tcPr>
          <w:p w14:paraId="72CE8FC6" w14:textId="77777777" w:rsidR="00C41769" w:rsidRPr="002F7590" w:rsidRDefault="00C41769" w:rsidP="00557280">
            <w:pPr>
              <w:spacing w:after="0"/>
              <w:jc w:val="center"/>
              <w:rPr>
                <w:sz w:val="20"/>
                <w:szCs w:val="20"/>
                <w:lang w:eastAsia="es-AR"/>
              </w:rPr>
            </w:pPr>
            <w:proofErr w:type="spellStart"/>
            <w:r w:rsidRPr="002F7590">
              <w:rPr>
                <w:sz w:val="20"/>
                <w:szCs w:val="20"/>
                <w:lang w:eastAsia="es-AR"/>
              </w:rPr>
              <w:t>ln</w:t>
            </w:r>
            <w:proofErr w:type="spellEnd"/>
            <w:r w:rsidRPr="002F7590">
              <w:rPr>
                <w:sz w:val="20"/>
                <w:szCs w:val="20"/>
                <w:lang w:eastAsia="es-AR"/>
              </w:rPr>
              <w:t>(</w:t>
            </w:r>
            <w:proofErr w:type="spellStart"/>
            <w:r w:rsidRPr="002F7590">
              <w:rPr>
                <w:sz w:val="20"/>
                <w:szCs w:val="20"/>
                <w:lang w:eastAsia="es-AR"/>
              </w:rPr>
              <w:t>wage</w:t>
            </w:r>
            <w:proofErr w:type="spellEnd"/>
            <w:r w:rsidRPr="002F7590">
              <w:rPr>
                <w:sz w:val="20"/>
                <w:szCs w:val="20"/>
                <w:lang w:eastAsia="es-AR"/>
              </w:rPr>
              <w:t>)</w:t>
            </w:r>
          </w:p>
        </w:tc>
        <w:tc>
          <w:tcPr>
            <w:tcW w:w="1360" w:type="dxa"/>
            <w:tcBorders>
              <w:top w:val="nil"/>
              <w:left w:val="nil"/>
              <w:bottom w:val="single" w:sz="4" w:space="0" w:color="auto"/>
              <w:right w:val="single" w:sz="4" w:space="0" w:color="auto"/>
            </w:tcBorders>
            <w:shd w:val="clear" w:color="auto" w:fill="auto"/>
            <w:noWrap/>
            <w:vAlign w:val="bottom"/>
            <w:hideMark/>
          </w:tcPr>
          <w:p w14:paraId="796E88F3" w14:textId="7B962977" w:rsidR="00C41769" w:rsidRPr="002F7590" w:rsidRDefault="006327BA" w:rsidP="00557280">
            <w:pPr>
              <w:spacing w:after="0"/>
              <w:jc w:val="center"/>
              <w:rPr>
                <w:sz w:val="20"/>
                <w:szCs w:val="20"/>
                <w:lang w:eastAsia="es-AR"/>
              </w:rPr>
            </w:pPr>
            <w:r>
              <w:rPr>
                <w:sz w:val="20"/>
                <w:szCs w:val="20"/>
                <w:lang w:eastAsia="es-AR"/>
              </w:rPr>
              <w:t>313</w:t>
            </w:r>
          </w:p>
        </w:tc>
        <w:tc>
          <w:tcPr>
            <w:tcW w:w="1520" w:type="dxa"/>
            <w:tcBorders>
              <w:top w:val="nil"/>
              <w:left w:val="nil"/>
              <w:bottom w:val="single" w:sz="4" w:space="0" w:color="auto"/>
              <w:right w:val="single" w:sz="4" w:space="0" w:color="auto"/>
            </w:tcBorders>
            <w:shd w:val="clear" w:color="auto" w:fill="auto"/>
            <w:noWrap/>
            <w:vAlign w:val="bottom"/>
            <w:hideMark/>
          </w:tcPr>
          <w:p w14:paraId="2088D362" w14:textId="5CA4E3DB" w:rsidR="00C41769" w:rsidRPr="002F7590" w:rsidRDefault="00C41769" w:rsidP="006327BA">
            <w:pPr>
              <w:spacing w:after="0"/>
              <w:jc w:val="center"/>
              <w:rPr>
                <w:sz w:val="20"/>
                <w:szCs w:val="20"/>
                <w:lang w:eastAsia="es-AR"/>
              </w:rPr>
            </w:pPr>
            <w:r w:rsidRPr="002F7590">
              <w:rPr>
                <w:sz w:val="20"/>
                <w:szCs w:val="20"/>
                <w:lang w:eastAsia="es-AR"/>
              </w:rPr>
              <w:t>1</w:t>
            </w:r>
            <w:r w:rsidR="006327BA">
              <w:rPr>
                <w:sz w:val="20"/>
                <w:szCs w:val="20"/>
                <w:lang w:eastAsia="es-AR"/>
              </w:rPr>
              <w:t>63</w:t>
            </w:r>
          </w:p>
        </w:tc>
        <w:tc>
          <w:tcPr>
            <w:tcW w:w="1460" w:type="dxa"/>
            <w:tcBorders>
              <w:top w:val="nil"/>
              <w:left w:val="nil"/>
              <w:bottom w:val="single" w:sz="4" w:space="0" w:color="auto"/>
              <w:right w:val="single" w:sz="4" w:space="0" w:color="auto"/>
            </w:tcBorders>
            <w:shd w:val="clear" w:color="auto" w:fill="auto"/>
            <w:noWrap/>
            <w:vAlign w:val="bottom"/>
            <w:hideMark/>
          </w:tcPr>
          <w:p w14:paraId="3C2208E1" w14:textId="11D57EDA" w:rsidR="00C41769" w:rsidRPr="002F7590" w:rsidRDefault="00C41769" w:rsidP="006327BA">
            <w:pPr>
              <w:spacing w:after="0"/>
              <w:jc w:val="center"/>
              <w:rPr>
                <w:sz w:val="20"/>
                <w:szCs w:val="20"/>
                <w:lang w:eastAsia="es-AR"/>
              </w:rPr>
            </w:pPr>
            <w:r w:rsidRPr="002F7590">
              <w:rPr>
                <w:sz w:val="20"/>
                <w:szCs w:val="20"/>
                <w:lang w:eastAsia="es-AR"/>
              </w:rPr>
              <w:t>0.</w:t>
            </w:r>
            <w:r w:rsidR="006327BA">
              <w:rPr>
                <w:sz w:val="20"/>
                <w:szCs w:val="20"/>
                <w:lang w:eastAsia="es-AR"/>
              </w:rPr>
              <w:t>1</w:t>
            </w:r>
            <w:r w:rsidR="002316A5">
              <w:rPr>
                <w:sz w:val="20"/>
                <w:szCs w:val="20"/>
                <w:lang w:eastAsia="es-AR"/>
              </w:rPr>
              <w:t>85</w:t>
            </w:r>
          </w:p>
        </w:tc>
        <w:tc>
          <w:tcPr>
            <w:tcW w:w="839" w:type="dxa"/>
            <w:tcBorders>
              <w:top w:val="nil"/>
              <w:left w:val="nil"/>
              <w:bottom w:val="single" w:sz="4" w:space="0" w:color="auto"/>
              <w:right w:val="single" w:sz="8" w:space="0" w:color="auto"/>
            </w:tcBorders>
            <w:shd w:val="clear" w:color="auto" w:fill="auto"/>
            <w:noWrap/>
            <w:vAlign w:val="bottom"/>
            <w:hideMark/>
          </w:tcPr>
          <w:p w14:paraId="00BB7503" w14:textId="260B9F51" w:rsidR="00C41769" w:rsidRPr="002F7590" w:rsidRDefault="006327BA" w:rsidP="006327BA">
            <w:pPr>
              <w:spacing w:after="0"/>
              <w:jc w:val="center"/>
              <w:rPr>
                <w:sz w:val="20"/>
                <w:szCs w:val="20"/>
                <w:lang w:eastAsia="es-AR"/>
              </w:rPr>
            </w:pPr>
            <w:r>
              <w:rPr>
                <w:sz w:val="20"/>
                <w:szCs w:val="20"/>
                <w:lang w:eastAsia="es-AR"/>
              </w:rPr>
              <w:t>3</w:t>
            </w:r>
            <w:r w:rsidR="00C41769" w:rsidRPr="002F7590">
              <w:rPr>
                <w:sz w:val="20"/>
                <w:szCs w:val="20"/>
                <w:lang w:eastAsia="es-AR"/>
              </w:rPr>
              <w:t>.</w:t>
            </w:r>
            <w:r>
              <w:rPr>
                <w:sz w:val="20"/>
                <w:szCs w:val="20"/>
                <w:lang w:eastAsia="es-AR"/>
              </w:rPr>
              <w:t>43</w:t>
            </w:r>
          </w:p>
        </w:tc>
      </w:tr>
      <w:tr w:rsidR="00C41769" w:rsidRPr="002F7590" w14:paraId="039315D0" w14:textId="77777777" w:rsidTr="00483A0D">
        <w:trPr>
          <w:trHeight w:val="315"/>
        </w:trPr>
        <w:tc>
          <w:tcPr>
            <w:tcW w:w="852" w:type="dxa"/>
            <w:vMerge/>
            <w:tcBorders>
              <w:top w:val="nil"/>
              <w:left w:val="single" w:sz="8" w:space="0" w:color="auto"/>
              <w:bottom w:val="single" w:sz="8" w:space="0" w:color="000000"/>
              <w:right w:val="single" w:sz="8" w:space="0" w:color="auto"/>
            </w:tcBorders>
            <w:vAlign w:val="center"/>
            <w:hideMark/>
          </w:tcPr>
          <w:p w14:paraId="246E0AC0" w14:textId="77777777" w:rsidR="00C41769" w:rsidRPr="002F7590" w:rsidRDefault="00C41769" w:rsidP="00557280">
            <w:pPr>
              <w:spacing w:after="0"/>
              <w:rPr>
                <w:sz w:val="20"/>
                <w:szCs w:val="20"/>
                <w:lang w:eastAsia="es-AR"/>
              </w:rPr>
            </w:pPr>
          </w:p>
        </w:tc>
        <w:tc>
          <w:tcPr>
            <w:tcW w:w="1984" w:type="dxa"/>
            <w:vMerge/>
            <w:tcBorders>
              <w:top w:val="single" w:sz="4" w:space="0" w:color="auto"/>
              <w:left w:val="single" w:sz="8" w:space="0" w:color="auto"/>
              <w:bottom w:val="single" w:sz="8" w:space="0" w:color="000000"/>
              <w:right w:val="single" w:sz="4" w:space="0" w:color="auto"/>
            </w:tcBorders>
            <w:vAlign w:val="center"/>
            <w:hideMark/>
          </w:tcPr>
          <w:p w14:paraId="2C9F2AA0" w14:textId="77777777" w:rsidR="00C41769" w:rsidRPr="002F7590" w:rsidRDefault="00C41769" w:rsidP="00557280">
            <w:pPr>
              <w:spacing w:after="0"/>
              <w:rPr>
                <w:sz w:val="20"/>
                <w:szCs w:val="20"/>
                <w:lang w:eastAsia="es-AR"/>
              </w:rPr>
            </w:pPr>
          </w:p>
        </w:tc>
        <w:tc>
          <w:tcPr>
            <w:tcW w:w="992" w:type="dxa"/>
            <w:tcBorders>
              <w:top w:val="nil"/>
              <w:left w:val="nil"/>
              <w:bottom w:val="single" w:sz="8" w:space="0" w:color="auto"/>
              <w:right w:val="single" w:sz="4" w:space="0" w:color="auto"/>
            </w:tcBorders>
            <w:shd w:val="clear" w:color="auto" w:fill="auto"/>
            <w:noWrap/>
            <w:vAlign w:val="bottom"/>
            <w:hideMark/>
          </w:tcPr>
          <w:p w14:paraId="7133072A" w14:textId="77777777" w:rsidR="00C41769" w:rsidRPr="002F7590" w:rsidRDefault="00C41769" w:rsidP="00557280">
            <w:pPr>
              <w:spacing w:after="0"/>
              <w:jc w:val="center"/>
              <w:rPr>
                <w:b/>
                <w:sz w:val="20"/>
                <w:szCs w:val="20"/>
                <w:lang w:eastAsia="es-AR"/>
              </w:rPr>
            </w:pPr>
            <w:r w:rsidRPr="002F7590">
              <w:rPr>
                <w:b/>
                <w:sz w:val="20"/>
                <w:szCs w:val="20"/>
                <w:lang w:eastAsia="es-AR"/>
              </w:rPr>
              <w:t>Gap</w:t>
            </w:r>
          </w:p>
        </w:tc>
        <w:tc>
          <w:tcPr>
            <w:tcW w:w="2880"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DA6BFF2" w14:textId="77777777" w:rsidR="00C41769" w:rsidRPr="002F7590" w:rsidRDefault="00C41769" w:rsidP="00557280">
            <w:pPr>
              <w:spacing w:after="0"/>
              <w:jc w:val="center"/>
              <w:rPr>
                <w:b/>
                <w:sz w:val="20"/>
                <w:szCs w:val="20"/>
                <w:lang w:eastAsia="es-AR"/>
              </w:rPr>
            </w:pPr>
          </w:p>
        </w:tc>
        <w:tc>
          <w:tcPr>
            <w:tcW w:w="1460" w:type="dxa"/>
            <w:tcBorders>
              <w:top w:val="nil"/>
              <w:left w:val="nil"/>
              <w:bottom w:val="single" w:sz="8" w:space="0" w:color="auto"/>
              <w:right w:val="single" w:sz="4" w:space="0" w:color="auto"/>
            </w:tcBorders>
            <w:shd w:val="clear" w:color="auto" w:fill="auto"/>
            <w:noWrap/>
            <w:vAlign w:val="bottom"/>
            <w:hideMark/>
          </w:tcPr>
          <w:p w14:paraId="111E7584" w14:textId="1B3BE80A" w:rsidR="00C41769" w:rsidRPr="002F7590" w:rsidRDefault="00C41769" w:rsidP="006327BA">
            <w:pPr>
              <w:spacing w:after="0"/>
              <w:jc w:val="center"/>
              <w:rPr>
                <w:b/>
                <w:sz w:val="20"/>
                <w:szCs w:val="20"/>
                <w:lang w:eastAsia="es-AR"/>
              </w:rPr>
            </w:pPr>
            <w:r w:rsidRPr="002F7590">
              <w:rPr>
                <w:b/>
                <w:sz w:val="20"/>
                <w:szCs w:val="20"/>
                <w:lang w:eastAsia="es-AR"/>
              </w:rPr>
              <w:t>0.</w:t>
            </w:r>
            <w:r w:rsidR="006327BA">
              <w:rPr>
                <w:b/>
                <w:sz w:val="20"/>
                <w:szCs w:val="20"/>
                <w:lang w:eastAsia="es-AR"/>
              </w:rPr>
              <w:t>0</w:t>
            </w:r>
            <w:r w:rsidRPr="002F7590">
              <w:rPr>
                <w:b/>
                <w:sz w:val="20"/>
                <w:szCs w:val="20"/>
                <w:lang w:eastAsia="es-AR"/>
              </w:rPr>
              <w:t>7</w:t>
            </w:r>
          </w:p>
        </w:tc>
        <w:tc>
          <w:tcPr>
            <w:tcW w:w="839" w:type="dxa"/>
            <w:tcBorders>
              <w:top w:val="nil"/>
              <w:left w:val="nil"/>
              <w:bottom w:val="single" w:sz="8" w:space="0" w:color="auto"/>
              <w:right w:val="single" w:sz="8" w:space="0" w:color="auto"/>
            </w:tcBorders>
            <w:shd w:val="clear" w:color="auto" w:fill="auto"/>
            <w:noWrap/>
            <w:vAlign w:val="bottom"/>
            <w:hideMark/>
          </w:tcPr>
          <w:p w14:paraId="588F112F" w14:textId="77777777" w:rsidR="00C41769" w:rsidRPr="002F7590" w:rsidRDefault="00C41769" w:rsidP="00557280">
            <w:pPr>
              <w:spacing w:after="0"/>
              <w:jc w:val="center"/>
              <w:rPr>
                <w:sz w:val="20"/>
                <w:szCs w:val="20"/>
                <w:lang w:eastAsia="es-AR"/>
              </w:rPr>
            </w:pPr>
          </w:p>
        </w:tc>
      </w:tr>
    </w:tbl>
    <w:p w14:paraId="3CB888F5" w14:textId="77777777" w:rsidR="00C41769" w:rsidRPr="007E524A" w:rsidRDefault="00C41769" w:rsidP="00C41769">
      <w:pPr>
        <w:spacing w:after="0"/>
        <w:rPr>
          <w:sz w:val="22"/>
          <w:lang w:val="en-US"/>
        </w:rPr>
      </w:pPr>
      <w:r w:rsidRPr="007E524A">
        <w:rPr>
          <w:sz w:val="22"/>
          <w:lang w:val="en-US"/>
        </w:rPr>
        <w:t>Source: Ow</w:t>
      </w:r>
      <w:r>
        <w:rPr>
          <w:sz w:val="22"/>
          <w:lang w:val="en-US"/>
        </w:rPr>
        <w:t xml:space="preserve">n elaboration base on </w:t>
      </w:r>
      <w:proofErr w:type="spellStart"/>
      <w:r>
        <w:rPr>
          <w:sz w:val="22"/>
          <w:lang w:val="en-US"/>
        </w:rPr>
        <w:t>Mapa</w:t>
      </w:r>
      <w:proofErr w:type="spellEnd"/>
      <w:r>
        <w:rPr>
          <w:sz w:val="22"/>
          <w:lang w:val="en-US"/>
        </w:rPr>
        <w:t xml:space="preserve"> </w:t>
      </w:r>
      <w:proofErr w:type="spellStart"/>
      <w:r>
        <w:rPr>
          <w:sz w:val="22"/>
          <w:lang w:val="en-US"/>
        </w:rPr>
        <w:t>Pyme</w:t>
      </w:r>
      <w:proofErr w:type="spellEnd"/>
      <w:r>
        <w:rPr>
          <w:sz w:val="22"/>
          <w:lang w:val="en-US"/>
        </w:rPr>
        <w:t xml:space="preserve"> and Ministry of Labor and Social Security</w:t>
      </w:r>
    </w:p>
    <w:p w14:paraId="0E6AE1EB" w14:textId="77777777" w:rsidR="00C41769" w:rsidRDefault="00C41769" w:rsidP="00C41769">
      <w:pPr>
        <w:rPr>
          <w:lang w:val="en-US"/>
        </w:rPr>
      </w:pPr>
    </w:p>
    <w:p w14:paraId="3286D3ED" w14:textId="349A3E62" w:rsidR="00C41769" w:rsidRDefault="00C41769" w:rsidP="00483A0D">
      <w:pPr>
        <w:autoSpaceDE w:val="0"/>
        <w:autoSpaceDN w:val="0"/>
        <w:adjustRightInd w:val="0"/>
        <w:spacing w:after="0" w:line="240" w:lineRule="auto"/>
        <w:rPr>
          <w:lang w:val="en-US"/>
        </w:rPr>
        <w:sectPr w:rsidR="00C41769" w:rsidSect="00557280">
          <w:pgSz w:w="12240" w:h="15840"/>
          <w:pgMar w:top="1417" w:right="1701" w:bottom="1417" w:left="1701" w:header="708" w:footer="708" w:gutter="0"/>
          <w:cols w:space="708"/>
          <w:docGrid w:linePitch="360"/>
        </w:sectPr>
      </w:pPr>
      <w:r w:rsidRPr="00FC2F49">
        <w:rPr>
          <w:lang w:val="en-US"/>
        </w:rPr>
        <w:t xml:space="preserve">Finally, results for hypothesis 3 are not so promising. Rows 4 and 5 of </w:t>
      </w:r>
      <w:r w:rsidR="00915387" w:rsidRPr="00FC2F49">
        <w:rPr>
          <w:lang w:val="en-US"/>
        </w:rPr>
        <w:t>T</w:t>
      </w:r>
      <w:r w:rsidRPr="00FC2F49">
        <w:rPr>
          <w:lang w:val="en-US"/>
        </w:rPr>
        <w:t xml:space="preserve">able 3 show that </w:t>
      </w:r>
      <w:r w:rsidR="009E40B7" w:rsidRPr="00FC2F49">
        <w:rPr>
          <w:szCs w:val="24"/>
          <w:lang w:val="en-US"/>
        </w:rPr>
        <w:t xml:space="preserve">the gap between impacts on productivity and wages remains the same when moving from </w:t>
      </w:r>
      <w:r w:rsidR="00FC2F49" w:rsidRPr="00F927C9">
        <w:rPr>
          <w:rFonts w:cs="Garamond"/>
          <w:iCs/>
          <w:szCs w:val="24"/>
          <w:lang w:val="en-GB"/>
        </w:rPr>
        <w:t>activities where collective bargaining</w:t>
      </w:r>
      <w:r w:rsidR="00FC2F49">
        <w:rPr>
          <w:rFonts w:cs="Garamond"/>
          <w:iCs/>
          <w:szCs w:val="24"/>
          <w:lang w:val="en-GB"/>
        </w:rPr>
        <w:t xml:space="preserve"> </w:t>
      </w:r>
      <w:r w:rsidR="00FC2F49" w:rsidRPr="00F927C9">
        <w:rPr>
          <w:rFonts w:cs="Garamond"/>
          <w:iCs/>
          <w:szCs w:val="24"/>
          <w:lang w:val="en-GB"/>
        </w:rPr>
        <w:t>led to wage increases below the mean to activities where the negotiations led to over-the</w:t>
      </w:r>
      <w:r w:rsidR="00FC2F49">
        <w:rPr>
          <w:rFonts w:cs="Garamond"/>
          <w:iCs/>
          <w:szCs w:val="24"/>
          <w:lang w:val="en-GB"/>
        </w:rPr>
        <w:t xml:space="preserve"> </w:t>
      </w:r>
      <w:r w:rsidR="00FC2F49" w:rsidRPr="00F927C9">
        <w:rPr>
          <w:rFonts w:cs="Garamond"/>
          <w:iCs/>
          <w:szCs w:val="24"/>
          <w:lang w:val="en-GB"/>
        </w:rPr>
        <w:t>mean</w:t>
      </w:r>
      <w:r w:rsidR="00FC2F49">
        <w:rPr>
          <w:rFonts w:cs="Garamond"/>
          <w:iCs/>
          <w:szCs w:val="24"/>
          <w:lang w:val="en-GB"/>
        </w:rPr>
        <w:t xml:space="preserve"> </w:t>
      </w:r>
      <w:r w:rsidR="00FC2F49" w:rsidRPr="00F927C9">
        <w:rPr>
          <w:rFonts w:cs="Garamond"/>
          <w:iCs/>
          <w:szCs w:val="24"/>
          <w:lang w:val="en-GB"/>
        </w:rPr>
        <w:t>increases.</w:t>
      </w:r>
      <w:r w:rsidR="00FC2F49">
        <w:rPr>
          <w:rFonts w:cs="Garamond"/>
          <w:iCs/>
          <w:szCs w:val="24"/>
          <w:lang w:val="en-GB"/>
        </w:rPr>
        <w:t xml:space="preserve"> </w:t>
      </w:r>
      <w:r w:rsidR="00415DBC">
        <w:rPr>
          <w:lang w:val="en-US"/>
        </w:rPr>
        <w:t>Similar conclusions can be derived from c</w:t>
      </w:r>
      <w:r>
        <w:rPr>
          <w:lang w:val="en-US"/>
        </w:rPr>
        <w:t xml:space="preserve">olumns 7 to 10 of </w:t>
      </w:r>
      <w:r w:rsidR="00415DBC">
        <w:rPr>
          <w:lang w:val="en-US"/>
        </w:rPr>
        <w:t>T</w:t>
      </w:r>
      <w:r>
        <w:rPr>
          <w:lang w:val="en-US"/>
        </w:rPr>
        <w:t xml:space="preserve">able 4. </w:t>
      </w:r>
      <w:r w:rsidR="00415DBC">
        <w:rPr>
          <w:lang w:val="en-US"/>
        </w:rPr>
        <w:t>T</w:t>
      </w:r>
      <w:r>
        <w:rPr>
          <w:lang w:val="en-US"/>
        </w:rPr>
        <w:t xml:space="preserve">he </w:t>
      </w:r>
      <w:r w:rsidR="00A77AB6">
        <w:rPr>
          <w:lang w:val="en-US"/>
        </w:rPr>
        <w:t xml:space="preserve">productivity-wage </w:t>
      </w:r>
      <w:r>
        <w:rPr>
          <w:lang w:val="en-US"/>
        </w:rPr>
        <w:t xml:space="preserve">gap in the </w:t>
      </w:r>
      <w:r w:rsidR="00B03B06">
        <w:rPr>
          <w:lang w:val="en-US"/>
        </w:rPr>
        <w:t>OLS</w:t>
      </w:r>
      <w:r w:rsidR="00A77AB6">
        <w:rPr>
          <w:lang w:val="en-US"/>
        </w:rPr>
        <w:t xml:space="preserve"> </w:t>
      </w:r>
      <w:r>
        <w:rPr>
          <w:lang w:val="en-US"/>
        </w:rPr>
        <w:t xml:space="preserve">models </w:t>
      </w:r>
      <w:r w:rsidR="00F167AA">
        <w:rPr>
          <w:lang w:val="en-US"/>
        </w:rPr>
        <w:t xml:space="preserve">is the same (6.7 percentage points) </w:t>
      </w:r>
      <w:r w:rsidR="00103149">
        <w:rPr>
          <w:lang w:val="en-US"/>
        </w:rPr>
        <w:t xml:space="preserve">both </w:t>
      </w:r>
      <w:r w:rsidR="00F167AA">
        <w:rPr>
          <w:lang w:val="en-US"/>
        </w:rPr>
        <w:t xml:space="preserve">for </w:t>
      </w:r>
      <w:r>
        <w:rPr>
          <w:lang w:val="en-US"/>
        </w:rPr>
        <w:t xml:space="preserve">sectors that negotiate worse </w:t>
      </w:r>
      <w:r w:rsidR="00F167AA">
        <w:rPr>
          <w:lang w:val="en-US"/>
        </w:rPr>
        <w:t xml:space="preserve">and </w:t>
      </w:r>
      <w:r w:rsidR="00FC2F49">
        <w:rPr>
          <w:lang w:val="en-US"/>
        </w:rPr>
        <w:t xml:space="preserve">for </w:t>
      </w:r>
      <w:r w:rsidR="00F167AA">
        <w:rPr>
          <w:lang w:val="en-US"/>
        </w:rPr>
        <w:t>those that</w:t>
      </w:r>
      <w:r w:rsidR="00415DBC">
        <w:rPr>
          <w:lang w:val="en-US"/>
        </w:rPr>
        <w:t xml:space="preserve"> </w:t>
      </w:r>
      <w:r>
        <w:rPr>
          <w:lang w:val="en-US"/>
        </w:rPr>
        <w:t>negotiate better. Therefore</w:t>
      </w:r>
      <w:r w:rsidR="00415DBC">
        <w:rPr>
          <w:lang w:val="en-US"/>
        </w:rPr>
        <w:t>,</w:t>
      </w:r>
      <w:r>
        <w:rPr>
          <w:lang w:val="en-US"/>
        </w:rPr>
        <w:t xml:space="preserve"> evidence </w:t>
      </w:r>
      <w:r w:rsidR="00415DBC">
        <w:rPr>
          <w:lang w:val="en-US"/>
        </w:rPr>
        <w:t xml:space="preserve">does not </w:t>
      </w:r>
      <w:r>
        <w:rPr>
          <w:lang w:val="en-US"/>
        </w:rPr>
        <w:t xml:space="preserve">support hypothesis 3.  </w:t>
      </w:r>
    </w:p>
    <w:p w14:paraId="797CF9C5" w14:textId="4B4D74E5" w:rsidR="00C41769" w:rsidRPr="00F927C9" w:rsidRDefault="00C41769" w:rsidP="00C41769">
      <w:pPr>
        <w:rPr>
          <w:b/>
          <w:szCs w:val="24"/>
          <w:lang w:val="en-GB"/>
        </w:rPr>
      </w:pPr>
      <w:r w:rsidRPr="00E774C4">
        <w:rPr>
          <w:b/>
          <w:szCs w:val="24"/>
          <w:lang w:val="en-US"/>
        </w:rPr>
        <w:lastRenderedPageBreak/>
        <w:t xml:space="preserve">Table 4. </w:t>
      </w:r>
      <w:r w:rsidR="00596106">
        <w:rPr>
          <w:b/>
          <w:szCs w:val="24"/>
          <w:lang w:val="en-US"/>
        </w:rPr>
        <w:t>OLS regressions.</w:t>
      </w:r>
      <w:r w:rsidR="00557850">
        <w:rPr>
          <w:b/>
          <w:szCs w:val="24"/>
          <w:lang w:val="en-US"/>
        </w:rPr>
        <w:t xml:space="preserve"> </w:t>
      </w:r>
      <w:r w:rsidR="00557850" w:rsidRPr="00F927C9">
        <w:rPr>
          <w:lang w:val="en-GB"/>
        </w:rPr>
        <w:t>Doubly</w:t>
      </w:r>
      <w:r w:rsidR="00893C03">
        <w:rPr>
          <w:lang w:val="en-GB"/>
        </w:rPr>
        <w:t>-</w:t>
      </w:r>
      <w:r w:rsidR="00557850" w:rsidRPr="00F927C9">
        <w:rPr>
          <w:lang w:val="en-GB"/>
        </w:rPr>
        <w:t>robust estimat</w:t>
      </w:r>
      <w:r w:rsidR="00893C03">
        <w:rPr>
          <w:lang w:val="en-GB"/>
        </w:rPr>
        <w:t>ors</w:t>
      </w:r>
      <w:r w:rsidR="00557850" w:rsidRPr="00F927C9">
        <w:rPr>
          <w:lang w:val="en-GB"/>
        </w:rPr>
        <w:t>: Parametric estimation of ATT</w:t>
      </w:r>
    </w:p>
    <w:tbl>
      <w:tblPr>
        <w:tblW w:w="13249" w:type="dxa"/>
        <w:tblInd w:w="-5" w:type="dxa"/>
        <w:tblCellMar>
          <w:left w:w="70" w:type="dxa"/>
          <w:right w:w="70" w:type="dxa"/>
        </w:tblCellMar>
        <w:tblLook w:val="04A0" w:firstRow="1" w:lastRow="0" w:firstColumn="1" w:lastColumn="0" w:noHBand="0" w:noVBand="1"/>
      </w:tblPr>
      <w:tblGrid>
        <w:gridCol w:w="1472"/>
        <w:gridCol w:w="1222"/>
        <w:gridCol w:w="1200"/>
        <w:gridCol w:w="1209"/>
        <w:gridCol w:w="1200"/>
        <w:gridCol w:w="1210"/>
        <w:gridCol w:w="1200"/>
        <w:gridCol w:w="1068"/>
        <w:gridCol w:w="1200"/>
        <w:gridCol w:w="1068"/>
        <w:gridCol w:w="1200"/>
      </w:tblGrid>
      <w:tr w:rsidR="004C03FF" w:rsidRPr="004C03FF" w14:paraId="10C54E57" w14:textId="77777777" w:rsidTr="00F927C9">
        <w:trPr>
          <w:trHeight w:val="300"/>
        </w:trPr>
        <w:tc>
          <w:tcPr>
            <w:tcW w:w="14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F94E49"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Model</w:t>
            </w:r>
            <w:proofErr w:type="spellEnd"/>
          </w:p>
        </w:tc>
        <w:tc>
          <w:tcPr>
            <w:tcW w:w="2422" w:type="dxa"/>
            <w:gridSpan w:val="2"/>
            <w:vMerge w:val="restart"/>
            <w:tcBorders>
              <w:top w:val="single" w:sz="4" w:space="0" w:color="auto"/>
              <w:left w:val="single" w:sz="4" w:space="0" w:color="auto"/>
              <w:bottom w:val="single" w:sz="8" w:space="0" w:color="BFBFBF"/>
              <w:right w:val="single" w:sz="4" w:space="0" w:color="000000"/>
            </w:tcBorders>
            <w:shd w:val="clear" w:color="auto" w:fill="auto"/>
            <w:noWrap/>
            <w:vAlign w:val="center"/>
            <w:hideMark/>
          </w:tcPr>
          <w:p w14:paraId="663D090E"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Hypothesis</w:t>
            </w:r>
            <w:proofErr w:type="spellEnd"/>
            <w:r w:rsidRPr="004C03FF">
              <w:rPr>
                <w:rFonts w:eastAsia="Times New Roman" w:cs="Times New Roman"/>
                <w:b/>
                <w:bCs/>
                <w:color w:val="000000"/>
                <w:sz w:val="22"/>
                <w:szCs w:val="22"/>
                <w:lang w:eastAsia="es-AR"/>
              </w:rPr>
              <w:t>  1</w:t>
            </w:r>
          </w:p>
        </w:tc>
        <w:tc>
          <w:tcPr>
            <w:tcW w:w="4819" w:type="dxa"/>
            <w:gridSpan w:val="4"/>
            <w:tcBorders>
              <w:top w:val="single" w:sz="4" w:space="0" w:color="auto"/>
              <w:left w:val="nil"/>
              <w:bottom w:val="single" w:sz="8" w:space="0" w:color="BFBFBF"/>
              <w:right w:val="single" w:sz="4" w:space="0" w:color="000000"/>
            </w:tcBorders>
            <w:shd w:val="clear" w:color="auto" w:fill="auto"/>
            <w:noWrap/>
            <w:vAlign w:val="bottom"/>
            <w:hideMark/>
          </w:tcPr>
          <w:p w14:paraId="4E914350"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Hypothesis</w:t>
            </w:r>
            <w:proofErr w:type="spellEnd"/>
            <w:r w:rsidRPr="004C03FF">
              <w:rPr>
                <w:rFonts w:eastAsia="Times New Roman" w:cs="Times New Roman"/>
                <w:b/>
                <w:bCs/>
                <w:color w:val="000000"/>
                <w:sz w:val="22"/>
                <w:szCs w:val="22"/>
                <w:lang w:eastAsia="es-AR"/>
              </w:rPr>
              <w:t xml:space="preserve"> 2</w:t>
            </w:r>
          </w:p>
        </w:tc>
        <w:tc>
          <w:tcPr>
            <w:tcW w:w="4536" w:type="dxa"/>
            <w:gridSpan w:val="4"/>
            <w:tcBorders>
              <w:top w:val="single" w:sz="4" w:space="0" w:color="auto"/>
              <w:left w:val="nil"/>
              <w:bottom w:val="nil"/>
              <w:right w:val="single" w:sz="4" w:space="0" w:color="000000"/>
            </w:tcBorders>
            <w:shd w:val="clear" w:color="auto" w:fill="auto"/>
            <w:noWrap/>
            <w:vAlign w:val="bottom"/>
            <w:hideMark/>
          </w:tcPr>
          <w:p w14:paraId="35D03D1D"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Hypothesis</w:t>
            </w:r>
            <w:proofErr w:type="spellEnd"/>
            <w:r w:rsidRPr="004C03FF">
              <w:rPr>
                <w:rFonts w:eastAsia="Times New Roman" w:cs="Times New Roman"/>
                <w:b/>
                <w:bCs/>
                <w:color w:val="000000"/>
                <w:sz w:val="22"/>
                <w:szCs w:val="22"/>
                <w:lang w:eastAsia="es-AR"/>
              </w:rPr>
              <w:t xml:space="preserve"> 3</w:t>
            </w:r>
          </w:p>
        </w:tc>
      </w:tr>
      <w:tr w:rsidR="00905195" w:rsidRPr="00F927C9" w14:paraId="0FD96ED0" w14:textId="77777777" w:rsidTr="00F927C9">
        <w:trPr>
          <w:trHeight w:val="580"/>
        </w:trPr>
        <w:tc>
          <w:tcPr>
            <w:tcW w:w="1472" w:type="dxa"/>
            <w:vMerge/>
            <w:tcBorders>
              <w:top w:val="single" w:sz="4" w:space="0" w:color="auto"/>
              <w:left w:val="single" w:sz="4" w:space="0" w:color="auto"/>
              <w:bottom w:val="single" w:sz="4" w:space="0" w:color="000000"/>
              <w:right w:val="single" w:sz="4" w:space="0" w:color="auto"/>
            </w:tcBorders>
            <w:vAlign w:val="center"/>
            <w:hideMark/>
          </w:tcPr>
          <w:p w14:paraId="7C5B1A0C" w14:textId="77777777" w:rsidR="004C03FF" w:rsidRPr="004C03FF" w:rsidRDefault="004C03FF" w:rsidP="004C03FF">
            <w:pPr>
              <w:spacing w:after="0" w:line="240" w:lineRule="auto"/>
              <w:jc w:val="left"/>
              <w:rPr>
                <w:rFonts w:eastAsia="Times New Roman" w:cs="Times New Roman"/>
                <w:b/>
                <w:bCs/>
                <w:color w:val="000000"/>
                <w:sz w:val="22"/>
                <w:szCs w:val="22"/>
                <w:lang w:eastAsia="es-AR"/>
              </w:rPr>
            </w:pPr>
          </w:p>
        </w:tc>
        <w:tc>
          <w:tcPr>
            <w:tcW w:w="2422" w:type="dxa"/>
            <w:gridSpan w:val="2"/>
            <w:vMerge/>
            <w:tcBorders>
              <w:top w:val="single" w:sz="4" w:space="0" w:color="auto"/>
              <w:left w:val="single" w:sz="4" w:space="0" w:color="auto"/>
              <w:bottom w:val="single" w:sz="8" w:space="0" w:color="BFBFBF"/>
              <w:right w:val="single" w:sz="4" w:space="0" w:color="000000"/>
            </w:tcBorders>
            <w:vAlign w:val="center"/>
            <w:hideMark/>
          </w:tcPr>
          <w:p w14:paraId="4E033246" w14:textId="77777777" w:rsidR="004C03FF" w:rsidRPr="004C03FF" w:rsidRDefault="004C03FF" w:rsidP="004C03FF">
            <w:pPr>
              <w:spacing w:after="0" w:line="240" w:lineRule="auto"/>
              <w:jc w:val="left"/>
              <w:rPr>
                <w:rFonts w:eastAsia="Times New Roman" w:cs="Times New Roman"/>
                <w:b/>
                <w:bCs/>
                <w:color w:val="000000"/>
                <w:sz w:val="22"/>
                <w:szCs w:val="22"/>
                <w:lang w:eastAsia="es-AR"/>
              </w:rPr>
            </w:pPr>
          </w:p>
        </w:tc>
        <w:tc>
          <w:tcPr>
            <w:tcW w:w="2409" w:type="dxa"/>
            <w:gridSpan w:val="2"/>
            <w:tcBorders>
              <w:top w:val="single" w:sz="8" w:space="0" w:color="BFBFBF"/>
              <w:left w:val="nil"/>
              <w:bottom w:val="single" w:sz="8" w:space="0" w:color="BFBFBF"/>
              <w:right w:val="single" w:sz="8" w:space="0" w:color="BFBFBF"/>
            </w:tcBorders>
            <w:shd w:val="clear" w:color="auto" w:fill="auto"/>
            <w:vAlign w:val="center"/>
            <w:hideMark/>
          </w:tcPr>
          <w:p w14:paraId="6BAC8144"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Low</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Tech</w:t>
            </w:r>
            <w:proofErr w:type="spellEnd"/>
          </w:p>
        </w:tc>
        <w:tc>
          <w:tcPr>
            <w:tcW w:w="2410" w:type="dxa"/>
            <w:gridSpan w:val="2"/>
            <w:tcBorders>
              <w:top w:val="single" w:sz="8" w:space="0" w:color="BFBFBF"/>
              <w:left w:val="nil"/>
              <w:bottom w:val="single" w:sz="8" w:space="0" w:color="BFBFBF"/>
              <w:right w:val="single" w:sz="4" w:space="0" w:color="000000"/>
            </w:tcBorders>
            <w:shd w:val="clear" w:color="auto" w:fill="auto"/>
            <w:vAlign w:val="center"/>
            <w:hideMark/>
          </w:tcPr>
          <w:p w14:paraId="53E805BD"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 xml:space="preserve">High and Medium </w:t>
            </w:r>
            <w:proofErr w:type="spellStart"/>
            <w:r w:rsidRPr="004C03FF">
              <w:rPr>
                <w:rFonts w:eastAsia="Times New Roman" w:cs="Times New Roman"/>
                <w:b/>
                <w:bCs/>
                <w:color w:val="000000"/>
                <w:sz w:val="22"/>
                <w:szCs w:val="22"/>
                <w:lang w:eastAsia="es-AR"/>
              </w:rPr>
              <w:t>Tech</w:t>
            </w:r>
            <w:proofErr w:type="spellEnd"/>
          </w:p>
        </w:tc>
        <w:tc>
          <w:tcPr>
            <w:tcW w:w="2268" w:type="dxa"/>
            <w:gridSpan w:val="2"/>
            <w:tcBorders>
              <w:top w:val="single" w:sz="8" w:space="0" w:color="BFBFBF"/>
              <w:left w:val="nil"/>
              <w:bottom w:val="single" w:sz="8" w:space="0" w:color="BFBFBF"/>
              <w:right w:val="single" w:sz="8" w:space="0" w:color="BFBFBF"/>
            </w:tcBorders>
            <w:shd w:val="clear" w:color="auto" w:fill="auto"/>
            <w:vAlign w:val="center"/>
            <w:hideMark/>
          </w:tcPr>
          <w:p w14:paraId="0730FD34" w14:textId="77777777" w:rsidR="004C03FF" w:rsidRPr="00F927C9" w:rsidRDefault="004C03FF" w:rsidP="004C03FF">
            <w:pPr>
              <w:spacing w:after="0" w:line="240" w:lineRule="auto"/>
              <w:jc w:val="center"/>
              <w:rPr>
                <w:rFonts w:eastAsia="Times New Roman" w:cs="Times New Roman"/>
                <w:b/>
                <w:bCs/>
                <w:color w:val="000000"/>
                <w:sz w:val="22"/>
                <w:szCs w:val="22"/>
                <w:lang w:val="en-GB" w:eastAsia="es-AR"/>
              </w:rPr>
            </w:pPr>
            <w:r w:rsidRPr="004C03FF">
              <w:rPr>
                <w:rFonts w:eastAsia="Times New Roman" w:cs="Times New Roman"/>
                <w:b/>
                <w:bCs/>
                <w:color w:val="000000"/>
                <w:sz w:val="22"/>
                <w:szCs w:val="22"/>
                <w:lang w:val="en-US" w:eastAsia="es-AR"/>
              </w:rPr>
              <w:t>Collective bargaining leads to Δ wages below average</w:t>
            </w:r>
          </w:p>
        </w:tc>
        <w:tc>
          <w:tcPr>
            <w:tcW w:w="2268" w:type="dxa"/>
            <w:gridSpan w:val="2"/>
            <w:tcBorders>
              <w:top w:val="single" w:sz="8" w:space="0" w:color="BFBFBF"/>
              <w:left w:val="nil"/>
              <w:bottom w:val="single" w:sz="8" w:space="0" w:color="BFBFBF"/>
              <w:right w:val="single" w:sz="4" w:space="0" w:color="000000"/>
            </w:tcBorders>
            <w:shd w:val="clear" w:color="auto" w:fill="auto"/>
            <w:vAlign w:val="center"/>
            <w:hideMark/>
          </w:tcPr>
          <w:p w14:paraId="7D6E69B0" w14:textId="77777777" w:rsidR="004C03FF" w:rsidRPr="00F927C9" w:rsidRDefault="004C03FF" w:rsidP="004C03FF">
            <w:pPr>
              <w:spacing w:after="0" w:line="240" w:lineRule="auto"/>
              <w:jc w:val="center"/>
              <w:rPr>
                <w:rFonts w:eastAsia="Times New Roman" w:cs="Times New Roman"/>
                <w:b/>
                <w:bCs/>
                <w:color w:val="000000"/>
                <w:sz w:val="22"/>
                <w:szCs w:val="22"/>
                <w:lang w:val="en-GB" w:eastAsia="es-AR"/>
              </w:rPr>
            </w:pPr>
            <w:r w:rsidRPr="004C03FF">
              <w:rPr>
                <w:rFonts w:eastAsia="Times New Roman" w:cs="Times New Roman"/>
                <w:b/>
                <w:bCs/>
                <w:color w:val="000000"/>
                <w:sz w:val="22"/>
                <w:szCs w:val="22"/>
                <w:lang w:val="en-US" w:eastAsia="es-AR"/>
              </w:rPr>
              <w:t>Collective bargaining leads to Δ wages above average</w:t>
            </w:r>
          </w:p>
        </w:tc>
      </w:tr>
      <w:tr w:rsidR="00905195" w:rsidRPr="004C03FF" w14:paraId="28242CF8" w14:textId="77777777" w:rsidTr="00F927C9">
        <w:trPr>
          <w:trHeight w:val="290"/>
        </w:trPr>
        <w:tc>
          <w:tcPr>
            <w:tcW w:w="1472" w:type="dxa"/>
            <w:vMerge w:val="restart"/>
            <w:tcBorders>
              <w:top w:val="nil"/>
              <w:left w:val="single" w:sz="4" w:space="0" w:color="auto"/>
              <w:bottom w:val="nil"/>
              <w:right w:val="single" w:sz="4" w:space="0" w:color="auto"/>
            </w:tcBorders>
            <w:shd w:val="clear" w:color="auto" w:fill="auto"/>
            <w:noWrap/>
            <w:vAlign w:val="center"/>
            <w:hideMark/>
          </w:tcPr>
          <w:p w14:paraId="237CEE5E"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Output</w:t>
            </w:r>
          </w:p>
        </w:tc>
        <w:tc>
          <w:tcPr>
            <w:tcW w:w="1222" w:type="dxa"/>
            <w:tcBorders>
              <w:top w:val="nil"/>
              <w:left w:val="nil"/>
              <w:bottom w:val="nil"/>
              <w:right w:val="single" w:sz="8" w:space="0" w:color="BFBFBF"/>
            </w:tcBorders>
            <w:shd w:val="clear" w:color="auto" w:fill="auto"/>
            <w:vAlign w:val="center"/>
            <w:hideMark/>
          </w:tcPr>
          <w:p w14:paraId="0AD14699"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1.</w:t>
            </w:r>
          </w:p>
        </w:tc>
        <w:tc>
          <w:tcPr>
            <w:tcW w:w="1200" w:type="dxa"/>
            <w:tcBorders>
              <w:top w:val="nil"/>
              <w:left w:val="nil"/>
              <w:bottom w:val="nil"/>
              <w:right w:val="single" w:sz="4" w:space="0" w:color="auto"/>
            </w:tcBorders>
            <w:shd w:val="clear" w:color="auto" w:fill="auto"/>
            <w:vAlign w:val="center"/>
            <w:hideMark/>
          </w:tcPr>
          <w:p w14:paraId="198E02C6"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2.</w:t>
            </w:r>
          </w:p>
        </w:tc>
        <w:tc>
          <w:tcPr>
            <w:tcW w:w="1209" w:type="dxa"/>
            <w:tcBorders>
              <w:top w:val="nil"/>
              <w:left w:val="nil"/>
              <w:bottom w:val="nil"/>
              <w:right w:val="single" w:sz="8" w:space="0" w:color="BFBFBF"/>
            </w:tcBorders>
            <w:shd w:val="clear" w:color="auto" w:fill="auto"/>
            <w:vAlign w:val="center"/>
            <w:hideMark/>
          </w:tcPr>
          <w:p w14:paraId="780D1954"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3.</w:t>
            </w:r>
          </w:p>
        </w:tc>
        <w:tc>
          <w:tcPr>
            <w:tcW w:w="1200" w:type="dxa"/>
            <w:tcBorders>
              <w:top w:val="nil"/>
              <w:left w:val="nil"/>
              <w:bottom w:val="nil"/>
              <w:right w:val="single" w:sz="8" w:space="0" w:color="BFBFBF"/>
            </w:tcBorders>
            <w:shd w:val="clear" w:color="auto" w:fill="auto"/>
            <w:vAlign w:val="center"/>
            <w:hideMark/>
          </w:tcPr>
          <w:p w14:paraId="29919C96"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4.</w:t>
            </w:r>
          </w:p>
        </w:tc>
        <w:tc>
          <w:tcPr>
            <w:tcW w:w="1210" w:type="dxa"/>
            <w:tcBorders>
              <w:top w:val="nil"/>
              <w:left w:val="nil"/>
              <w:bottom w:val="nil"/>
              <w:right w:val="single" w:sz="8" w:space="0" w:color="BFBFBF"/>
            </w:tcBorders>
            <w:shd w:val="clear" w:color="auto" w:fill="auto"/>
            <w:vAlign w:val="center"/>
            <w:hideMark/>
          </w:tcPr>
          <w:p w14:paraId="5230DDB7"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5.</w:t>
            </w:r>
          </w:p>
        </w:tc>
        <w:tc>
          <w:tcPr>
            <w:tcW w:w="1200" w:type="dxa"/>
            <w:tcBorders>
              <w:top w:val="nil"/>
              <w:left w:val="nil"/>
              <w:bottom w:val="nil"/>
              <w:right w:val="single" w:sz="4" w:space="0" w:color="auto"/>
            </w:tcBorders>
            <w:shd w:val="clear" w:color="auto" w:fill="auto"/>
            <w:vAlign w:val="center"/>
            <w:hideMark/>
          </w:tcPr>
          <w:p w14:paraId="37B68A4D"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6.</w:t>
            </w:r>
          </w:p>
        </w:tc>
        <w:tc>
          <w:tcPr>
            <w:tcW w:w="1068" w:type="dxa"/>
            <w:tcBorders>
              <w:top w:val="nil"/>
              <w:left w:val="nil"/>
              <w:bottom w:val="nil"/>
              <w:right w:val="single" w:sz="8" w:space="0" w:color="BFBFBF"/>
            </w:tcBorders>
            <w:shd w:val="clear" w:color="auto" w:fill="auto"/>
            <w:vAlign w:val="center"/>
            <w:hideMark/>
          </w:tcPr>
          <w:p w14:paraId="70E47720"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7.</w:t>
            </w:r>
          </w:p>
        </w:tc>
        <w:tc>
          <w:tcPr>
            <w:tcW w:w="1200" w:type="dxa"/>
            <w:tcBorders>
              <w:top w:val="nil"/>
              <w:left w:val="nil"/>
              <w:bottom w:val="nil"/>
              <w:right w:val="single" w:sz="8" w:space="0" w:color="BFBFBF"/>
            </w:tcBorders>
            <w:shd w:val="clear" w:color="auto" w:fill="auto"/>
            <w:vAlign w:val="center"/>
            <w:hideMark/>
          </w:tcPr>
          <w:p w14:paraId="07BAE796"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8.</w:t>
            </w:r>
          </w:p>
        </w:tc>
        <w:tc>
          <w:tcPr>
            <w:tcW w:w="1068" w:type="dxa"/>
            <w:tcBorders>
              <w:top w:val="nil"/>
              <w:left w:val="nil"/>
              <w:bottom w:val="nil"/>
              <w:right w:val="single" w:sz="8" w:space="0" w:color="BFBFBF"/>
            </w:tcBorders>
            <w:shd w:val="clear" w:color="auto" w:fill="auto"/>
            <w:vAlign w:val="center"/>
            <w:hideMark/>
          </w:tcPr>
          <w:p w14:paraId="28531AC5"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9.</w:t>
            </w:r>
          </w:p>
        </w:tc>
        <w:tc>
          <w:tcPr>
            <w:tcW w:w="1200" w:type="dxa"/>
            <w:tcBorders>
              <w:top w:val="nil"/>
              <w:left w:val="nil"/>
              <w:bottom w:val="nil"/>
              <w:right w:val="single" w:sz="4" w:space="0" w:color="auto"/>
            </w:tcBorders>
            <w:shd w:val="clear" w:color="auto" w:fill="auto"/>
            <w:vAlign w:val="center"/>
            <w:hideMark/>
          </w:tcPr>
          <w:p w14:paraId="1736B0AA"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10.</w:t>
            </w:r>
          </w:p>
        </w:tc>
      </w:tr>
      <w:tr w:rsidR="00905195" w:rsidRPr="004C03FF" w14:paraId="373D384F" w14:textId="77777777" w:rsidTr="00F927C9">
        <w:trPr>
          <w:trHeight w:val="290"/>
        </w:trPr>
        <w:tc>
          <w:tcPr>
            <w:tcW w:w="1472" w:type="dxa"/>
            <w:vMerge/>
            <w:tcBorders>
              <w:top w:val="nil"/>
              <w:left w:val="single" w:sz="4" w:space="0" w:color="auto"/>
              <w:bottom w:val="nil"/>
              <w:right w:val="single" w:sz="4" w:space="0" w:color="auto"/>
            </w:tcBorders>
            <w:vAlign w:val="center"/>
            <w:hideMark/>
          </w:tcPr>
          <w:p w14:paraId="0EDDFD50" w14:textId="77777777" w:rsidR="004C03FF" w:rsidRPr="004C03FF" w:rsidRDefault="004C03FF" w:rsidP="004C03FF">
            <w:pPr>
              <w:spacing w:after="0" w:line="240" w:lineRule="auto"/>
              <w:jc w:val="left"/>
              <w:rPr>
                <w:rFonts w:eastAsia="Times New Roman" w:cs="Times New Roman"/>
                <w:b/>
                <w:bCs/>
                <w:color w:val="000000"/>
                <w:sz w:val="22"/>
                <w:szCs w:val="22"/>
                <w:lang w:eastAsia="es-AR"/>
              </w:rPr>
            </w:pPr>
          </w:p>
        </w:tc>
        <w:tc>
          <w:tcPr>
            <w:tcW w:w="1222" w:type="dxa"/>
            <w:tcBorders>
              <w:top w:val="nil"/>
              <w:left w:val="nil"/>
              <w:bottom w:val="nil"/>
              <w:right w:val="single" w:sz="8" w:space="0" w:color="BFBFBF"/>
            </w:tcBorders>
            <w:shd w:val="clear" w:color="auto" w:fill="auto"/>
            <w:vAlign w:val="center"/>
            <w:hideMark/>
          </w:tcPr>
          <w:p w14:paraId="754BAA05"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prod</w:t>
            </w:r>
            <w:proofErr w:type="spellEnd"/>
            <w:r w:rsidRPr="004C03FF">
              <w:rPr>
                <w:rFonts w:eastAsia="Times New Roman" w:cs="Times New Roman"/>
                <w:b/>
                <w:bCs/>
                <w:color w:val="000000"/>
                <w:sz w:val="22"/>
                <w:szCs w:val="22"/>
                <w:lang w:eastAsia="es-AR"/>
              </w:rPr>
              <w:t>)</w:t>
            </w:r>
          </w:p>
        </w:tc>
        <w:tc>
          <w:tcPr>
            <w:tcW w:w="1200" w:type="dxa"/>
            <w:tcBorders>
              <w:top w:val="nil"/>
              <w:left w:val="nil"/>
              <w:bottom w:val="nil"/>
              <w:right w:val="single" w:sz="4" w:space="0" w:color="auto"/>
            </w:tcBorders>
            <w:shd w:val="clear" w:color="auto" w:fill="auto"/>
            <w:vAlign w:val="center"/>
            <w:hideMark/>
          </w:tcPr>
          <w:p w14:paraId="72C6785A"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wage</w:t>
            </w:r>
            <w:proofErr w:type="spellEnd"/>
            <w:r w:rsidRPr="004C03FF">
              <w:rPr>
                <w:rFonts w:eastAsia="Times New Roman" w:cs="Times New Roman"/>
                <w:b/>
                <w:bCs/>
                <w:color w:val="000000"/>
                <w:sz w:val="22"/>
                <w:szCs w:val="22"/>
                <w:lang w:eastAsia="es-AR"/>
              </w:rPr>
              <w:t>)</w:t>
            </w:r>
          </w:p>
        </w:tc>
        <w:tc>
          <w:tcPr>
            <w:tcW w:w="1209" w:type="dxa"/>
            <w:tcBorders>
              <w:top w:val="nil"/>
              <w:left w:val="nil"/>
              <w:bottom w:val="nil"/>
              <w:right w:val="single" w:sz="8" w:space="0" w:color="BFBFBF"/>
            </w:tcBorders>
            <w:shd w:val="clear" w:color="auto" w:fill="auto"/>
            <w:vAlign w:val="center"/>
            <w:hideMark/>
          </w:tcPr>
          <w:p w14:paraId="4303FC52"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prod</w:t>
            </w:r>
            <w:proofErr w:type="spellEnd"/>
            <w:r w:rsidRPr="004C03FF">
              <w:rPr>
                <w:rFonts w:eastAsia="Times New Roman" w:cs="Times New Roman"/>
                <w:b/>
                <w:bCs/>
                <w:color w:val="000000"/>
                <w:sz w:val="22"/>
                <w:szCs w:val="22"/>
                <w:lang w:eastAsia="es-AR"/>
              </w:rPr>
              <w:t>)</w:t>
            </w:r>
          </w:p>
        </w:tc>
        <w:tc>
          <w:tcPr>
            <w:tcW w:w="1200" w:type="dxa"/>
            <w:tcBorders>
              <w:top w:val="nil"/>
              <w:left w:val="nil"/>
              <w:bottom w:val="nil"/>
              <w:right w:val="single" w:sz="8" w:space="0" w:color="BFBFBF"/>
            </w:tcBorders>
            <w:shd w:val="clear" w:color="auto" w:fill="auto"/>
            <w:vAlign w:val="center"/>
            <w:hideMark/>
          </w:tcPr>
          <w:p w14:paraId="0AF3B7B9"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wage</w:t>
            </w:r>
            <w:proofErr w:type="spellEnd"/>
            <w:r w:rsidRPr="004C03FF">
              <w:rPr>
                <w:rFonts w:eastAsia="Times New Roman" w:cs="Times New Roman"/>
                <w:b/>
                <w:bCs/>
                <w:color w:val="000000"/>
                <w:sz w:val="22"/>
                <w:szCs w:val="22"/>
                <w:lang w:eastAsia="es-AR"/>
              </w:rPr>
              <w:t>)</w:t>
            </w:r>
          </w:p>
        </w:tc>
        <w:tc>
          <w:tcPr>
            <w:tcW w:w="1210" w:type="dxa"/>
            <w:tcBorders>
              <w:top w:val="nil"/>
              <w:left w:val="nil"/>
              <w:bottom w:val="nil"/>
              <w:right w:val="single" w:sz="8" w:space="0" w:color="BFBFBF"/>
            </w:tcBorders>
            <w:shd w:val="clear" w:color="auto" w:fill="auto"/>
            <w:vAlign w:val="center"/>
            <w:hideMark/>
          </w:tcPr>
          <w:p w14:paraId="42DBF731"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prod</w:t>
            </w:r>
            <w:proofErr w:type="spellEnd"/>
            <w:r w:rsidRPr="004C03FF">
              <w:rPr>
                <w:rFonts w:eastAsia="Times New Roman" w:cs="Times New Roman"/>
                <w:b/>
                <w:bCs/>
                <w:color w:val="000000"/>
                <w:sz w:val="22"/>
                <w:szCs w:val="22"/>
                <w:lang w:eastAsia="es-AR"/>
              </w:rPr>
              <w:t>)</w:t>
            </w:r>
          </w:p>
        </w:tc>
        <w:tc>
          <w:tcPr>
            <w:tcW w:w="1200" w:type="dxa"/>
            <w:tcBorders>
              <w:top w:val="nil"/>
              <w:left w:val="nil"/>
              <w:bottom w:val="nil"/>
              <w:right w:val="single" w:sz="4" w:space="0" w:color="auto"/>
            </w:tcBorders>
            <w:shd w:val="clear" w:color="auto" w:fill="auto"/>
            <w:vAlign w:val="center"/>
            <w:hideMark/>
          </w:tcPr>
          <w:p w14:paraId="0BA6FB7B"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wage</w:t>
            </w:r>
            <w:proofErr w:type="spellEnd"/>
            <w:r w:rsidRPr="004C03FF">
              <w:rPr>
                <w:rFonts w:eastAsia="Times New Roman" w:cs="Times New Roman"/>
                <w:b/>
                <w:bCs/>
                <w:color w:val="000000"/>
                <w:sz w:val="22"/>
                <w:szCs w:val="22"/>
                <w:lang w:eastAsia="es-AR"/>
              </w:rPr>
              <w:t>)</w:t>
            </w:r>
          </w:p>
        </w:tc>
        <w:tc>
          <w:tcPr>
            <w:tcW w:w="1068" w:type="dxa"/>
            <w:tcBorders>
              <w:top w:val="nil"/>
              <w:left w:val="nil"/>
              <w:bottom w:val="nil"/>
              <w:right w:val="single" w:sz="8" w:space="0" w:color="BFBFBF"/>
            </w:tcBorders>
            <w:shd w:val="clear" w:color="auto" w:fill="auto"/>
            <w:vAlign w:val="center"/>
            <w:hideMark/>
          </w:tcPr>
          <w:p w14:paraId="200A47A5"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prod</w:t>
            </w:r>
            <w:proofErr w:type="spellEnd"/>
            <w:r w:rsidRPr="004C03FF">
              <w:rPr>
                <w:rFonts w:eastAsia="Times New Roman" w:cs="Times New Roman"/>
                <w:b/>
                <w:bCs/>
                <w:color w:val="000000"/>
                <w:sz w:val="22"/>
                <w:szCs w:val="22"/>
                <w:lang w:eastAsia="es-AR"/>
              </w:rPr>
              <w:t>)</w:t>
            </w:r>
          </w:p>
        </w:tc>
        <w:tc>
          <w:tcPr>
            <w:tcW w:w="1200" w:type="dxa"/>
            <w:tcBorders>
              <w:top w:val="nil"/>
              <w:left w:val="nil"/>
              <w:bottom w:val="nil"/>
              <w:right w:val="single" w:sz="8" w:space="0" w:color="BFBFBF"/>
            </w:tcBorders>
            <w:shd w:val="clear" w:color="auto" w:fill="auto"/>
            <w:vAlign w:val="center"/>
            <w:hideMark/>
          </w:tcPr>
          <w:p w14:paraId="456B53FE"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wage</w:t>
            </w:r>
            <w:proofErr w:type="spellEnd"/>
            <w:r w:rsidRPr="004C03FF">
              <w:rPr>
                <w:rFonts w:eastAsia="Times New Roman" w:cs="Times New Roman"/>
                <w:b/>
                <w:bCs/>
                <w:color w:val="000000"/>
                <w:sz w:val="22"/>
                <w:szCs w:val="22"/>
                <w:lang w:eastAsia="es-AR"/>
              </w:rPr>
              <w:t>)</w:t>
            </w:r>
          </w:p>
        </w:tc>
        <w:tc>
          <w:tcPr>
            <w:tcW w:w="1068" w:type="dxa"/>
            <w:tcBorders>
              <w:top w:val="nil"/>
              <w:left w:val="nil"/>
              <w:bottom w:val="nil"/>
              <w:right w:val="single" w:sz="8" w:space="0" w:color="BFBFBF"/>
            </w:tcBorders>
            <w:shd w:val="clear" w:color="auto" w:fill="auto"/>
            <w:vAlign w:val="center"/>
            <w:hideMark/>
          </w:tcPr>
          <w:p w14:paraId="418202F4"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prod</w:t>
            </w:r>
            <w:proofErr w:type="spellEnd"/>
            <w:r w:rsidRPr="004C03FF">
              <w:rPr>
                <w:rFonts w:eastAsia="Times New Roman" w:cs="Times New Roman"/>
                <w:b/>
                <w:bCs/>
                <w:color w:val="000000"/>
                <w:sz w:val="22"/>
                <w:szCs w:val="22"/>
                <w:lang w:eastAsia="es-AR"/>
              </w:rPr>
              <w:t>)</w:t>
            </w:r>
          </w:p>
        </w:tc>
        <w:tc>
          <w:tcPr>
            <w:tcW w:w="1200" w:type="dxa"/>
            <w:tcBorders>
              <w:top w:val="nil"/>
              <w:left w:val="nil"/>
              <w:bottom w:val="nil"/>
              <w:right w:val="single" w:sz="4" w:space="0" w:color="auto"/>
            </w:tcBorders>
            <w:shd w:val="clear" w:color="auto" w:fill="auto"/>
            <w:vAlign w:val="center"/>
            <w:hideMark/>
          </w:tcPr>
          <w:p w14:paraId="33B80FA7"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proofErr w:type="spellStart"/>
            <w:r w:rsidRPr="004C03FF">
              <w:rPr>
                <w:rFonts w:eastAsia="Times New Roman" w:cs="Times New Roman"/>
                <w:b/>
                <w:bCs/>
                <w:color w:val="000000"/>
                <w:sz w:val="22"/>
                <w:szCs w:val="22"/>
                <w:lang w:eastAsia="es-AR"/>
              </w:rPr>
              <w:t>Ln</w:t>
            </w:r>
            <w:proofErr w:type="spellEnd"/>
            <w:r w:rsidRPr="004C03FF">
              <w:rPr>
                <w:rFonts w:eastAsia="Times New Roman" w:cs="Times New Roman"/>
                <w:b/>
                <w:bCs/>
                <w:color w:val="000000"/>
                <w:sz w:val="22"/>
                <w:szCs w:val="22"/>
                <w:lang w:eastAsia="es-AR"/>
              </w:rPr>
              <w:t xml:space="preserve"> (</w:t>
            </w:r>
            <w:proofErr w:type="spellStart"/>
            <w:r w:rsidRPr="004C03FF">
              <w:rPr>
                <w:rFonts w:eastAsia="Times New Roman" w:cs="Times New Roman"/>
                <w:b/>
                <w:bCs/>
                <w:color w:val="000000"/>
                <w:sz w:val="22"/>
                <w:szCs w:val="22"/>
                <w:lang w:eastAsia="es-AR"/>
              </w:rPr>
              <w:t>wage</w:t>
            </w:r>
            <w:proofErr w:type="spellEnd"/>
            <w:r w:rsidRPr="004C03FF">
              <w:rPr>
                <w:rFonts w:eastAsia="Times New Roman" w:cs="Times New Roman"/>
                <w:b/>
                <w:bCs/>
                <w:color w:val="000000"/>
                <w:sz w:val="22"/>
                <w:szCs w:val="22"/>
                <w:lang w:eastAsia="es-AR"/>
              </w:rPr>
              <w:t>)</w:t>
            </w:r>
          </w:p>
        </w:tc>
      </w:tr>
      <w:tr w:rsidR="004C03FF" w:rsidRPr="004C03FF" w14:paraId="0969BF30" w14:textId="77777777" w:rsidTr="00F927C9">
        <w:trPr>
          <w:trHeight w:val="390"/>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02D8" w14:textId="77777777" w:rsidR="004C03FF" w:rsidRPr="004C03FF" w:rsidRDefault="004C03FF" w:rsidP="004C03FF">
            <w:pPr>
              <w:spacing w:after="0" w:line="240" w:lineRule="auto"/>
              <w:jc w:val="left"/>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Training</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75C7F1A1"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0.253***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28DB38A"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0.183***</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612D66F5"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0.307***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D3BD31"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0.185***</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470DC1C3"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0.211***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5CF422F"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0.183***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2B2AF7F1"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0.252***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A769D90"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0.185***</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23875BF4"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0.247***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ADF73CA" w14:textId="77777777" w:rsidR="004C03FF" w:rsidRPr="004C03FF" w:rsidRDefault="004C03FF" w:rsidP="004C03FF">
            <w:pPr>
              <w:spacing w:after="0" w:line="240" w:lineRule="auto"/>
              <w:jc w:val="center"/>
              <w:rPr>
                <w:rFonts w:eastAsia="Times New Roman" w:cs="Times New Roman"/>
                <w:b/>
                <w:bCs/>
                <w:color w:val="000000"/>
                <w:sz w:val="22"/>
                <w:szCs w:val="22"/>
                <w:lang w:eastAsia="es-AR"/>
              </w:rPr>
            </w:pPr>
            <w:r w:rsidRPr="004C03FF">
              <w:rPr>
                <w:rFonts w:eastAsia="Times New Roman" w:cs="Times New Roman"/>
                <w:b/>
                <w:bCs/>
                <w:color w:val="000000"/>
                <w:sz w:val="22"/>
                <w:szCs w:val="22"/>
                <w:lang w:eastAsia="es-AR"/>
              </w:rPr>
              <w:t>0.180***</w:t>
            </w:r>
          </w:p>
        </w:tc>
      </w:tr>
      <w:tr w:rsidR="004C03FF" w:rsidRPr="004C03FF" w14:paraId="6EB71CA6"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8D84DC2" w14:textId="395C0566" w:rsidR="004C03FF" w:rsidRPr="004C03FF" w:rsidRDefault="004C03FF" w:rsidP="004C03FF">
            <w:pPr>
              <w:spacing w:after="0" w:line="240" w:lineRule="auto"/>
              <w:jc w:val="left"/>
              <w:rPr>
                <w:rFonts w:eastAsia="Times New Roman" w:cs="Times New Roman"/>
                <w:color w:val="000000"/>
                <w:sz w:val="22"/>
                <w:szCs w:val="22"/>
                <w:lang w:eastAsia="es-AR"/>
              </w:rPr>
            </w:pPr>
            <w:r w:rsidRPr="004C03FF">
              <w:rPr>
                <w:rFonts w:eastAsia="Times New Roman" w:cs="Times New Roman"/>
                <w:color w:val="000000"/>
                <w:sz w:val="22"/>
                <w:szCs w:val="22"/>
                <w:lang w:eastAsia="es-AR"/>
              </w:rPr>
              <w:t>Rate_emp0307</w:t>
            </w:r>
          </w:p>
        </w:tc>
        <w:tc>
          <w:tcPr>
            <w:tcW w:w="1222" w:type="dxa"/>
            <w:tcBorders>
              <w:top w:val="nil"/>
              <w:left w:val="nil"/>
              <w:bottom w:val="single" w:sz="4" w:space="0" w:color="auto"/>
              <w:right w:val="single" w:sz="4" w:space="0" w:color="auto"/>
            </w:tcBorders>
            <w:shd w:val="clear" w:color="auto" w:fill="auto"/>
            <w:noWrap/>
            <w:vAlign w:val="bottom"/>
            <w:hideMark/>
          </w:tcPr>
          <w:p w14:paraId="5D2BE397"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0.063</w:t>
            </w:r>
          </w:p>
        </w:tc>
        <w:tc>
          <w:tcPr>
            <w:tcW w:w="1200" w:type="dxa"/>
            <w:tcBorders>
              <w:top w:val="nil"/>
              <w:left w:val="nil"/>
              <w:bottom w:val="single" w:sz="4" w:space="0" w:color="auto"/>
              <w:right w:val="single" w:sz="4" w:space="0" w:color="auto"/>
            </w:tcBorders>
            <w:shd w:val="clear" w:color="auto" w:fill="auto"/>
            <w:noWrap/>
            <w:vAlign w:val="bottom"/>
            <w:hideMark/>
          </w:tcPr>
          <w:p w14:paraId="77C70912"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-0.270***</w:t>
            </w:r>
          </w:p>
        </w:tc>
        <w:tc>
          <w:tcPr>
            <w:tcW w:w="1209" w:type="dxa"/>
            <w:tcBorders>
              <w:top w:val="nil"/>
              <w:left w:val="nil"/>
              <w:bottom w:val="single" w:sz="4" w:space="0" w:color="auto"/>
              <w:right w:val="single" w:sz="4" w:space="0" w:color="auto"/>
            </w:tcBorders>
            <w:shd w:val="clear" w:color="auto" w:fill="auto"/>
            <w:noWrap/>
            <w:vAlign w:val="bottom"/>
            <w:hideMark/>
          </w:tcPr>
          <w:p w14:paraId="29B3E2FD"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-0.138</w:t>
            </w:r>
          </w:p>
        </w:tc>
        <w:tc>
          <w:tcPr>
            <w:tcW w:w="1200" w:type="dxa"/>
            <w:tcBorders>
              <w:top w:val="nil"/>
              <w:left w:val="nil"/>
              <w:bottom w:val="single" w:sz="4" w:space="0" w:color="auto"/>
              <w:right w:val="single" w:sz="4" w:space="0" w:color="auto"/>
            </w:tcBorders>
            <w:shd w:val="clear" w:color="auto" w:fill="auto"/>
            <w:noWrap/>
            <w:vAlign w:val="bottom"/>
            <w:hideMark/>
          </w:tcPr>
          <w:p w14:paraId="7517C9AA"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-0.224*</w:t>
            </w:r>
          </w:p>
        </w:tc>
        <w:tc>
          <w:tcPr>
            <w:tcW w:w="1210" w:type="dxa"/>
            <w:tcBorders>
              <w:top w:val="nil"/>
              <w:left w:val="nil"/>
              <w:bottom w:val="single" w:sz="4" w:space="0" w:color="auto"/>
              <w:right w:val="single" w:sz="4" w:space="0" w:color="auto"/>
            </w:tcBorders>
            <w:shd w:val="clear" w:color="auto" w:fill="auto"/>
            <w:noWrap/>
            <w:vAlign w:val="bottom"/>
            <w:hideMark/>
          </w:tcPr>
          <w:p w14:paraId="2CA0831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0.156</w:t>
            </w:r>
          </w:p>
        </w:tc>
        <w:tc>
          <w:tcPr>
            <w:tcW w:w="1200" w:type="dxa"/>
            <w:tcBorders>
              <w:top w:val="nil"/>
              <w:left w:val="nil"/>
              <w:bottom w:val="single" w:sz="4" w:space="0" w:color="auto"/>
              <w:right w:val="single" w:sz="4" w:space="0" w:color="auto"/>
            </w:tcBorders>
            <w:shd w:val="clear" w:color="auto" w:fill="auto"/>
            <w:noWrap/>
            <w:vAlign w:val="bottom"/>
            <w:hideMark/>
          </w:tcPr>
          <w:p w14:paraId="24D18E1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-0.282**</w:t>
            </w:r>
          </w:p>
        </w:tc>
        <w:tc>
          <w:tcPr>
            <w:tcW w:w="1068" w:type="dxa"/>
            <w:tcBorders>
              <w:top w:val="nil"/>
              <w:left w:val="nil"/>
              <w:bottom w:val="single" w:sz="4" w:space="0" w:color="auto"/>
              <w:right w:val="single" w:sz="4" w:space="0" w:color="auto"/>
            </w:tcBorders>
            <w:shd w:val="clear" w:color="auto" w:fill="auto"/>
            <w:noWrap/>
            <w:vAlign w:val="bottom"/>
            <w:hideMark/>
          </w:tcPr>
          <w:p w14:paraId="164459C1"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-0.077</w:t>
            </w:r>
          </w:p>
        </w:tc>
        <w:tc>
          <w:tcPr>
            <w:tcW w:w="1200" w:type="dxa"/>
            <w:tcBorders>
              <w:top w:val="nil"/>
              <w:left w:val="nil"/>
              <w:bottom w:val="single" w:sz="4" w:space="0" w:color="auto"/>
              <w:right w:val="single" w:sz="4" w:space="0" w:color="auto"/>
            </w:tcBorders>
            <w:shd w:val="clear" w:color="auto" w:fill="auto"/>
            <w:noWrap/>
            <w:vAlign w:val="bottom"/>
            <w:hideMark/>
          </w:tcPr>
          <w:p w14:paraId="5733F55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-0.308**</w:t>
            </w:r>
          </w:p>
        </w:tc>
        <w:tc>
          <w:tcPr>
            <w:tcW w:w="1068" w:type="dxa"/>
            <w:tcBorders>
              <w:top w:val="nil"/>
              <w:left w:val="nil"/>
              <w:bottom w:val="single" w:sz="4" w:space="0" w:color="auto"/>
              <w:right w:val="single" w:sz="4" w:space="0" w:color="auto"/>
            </w:tcBorders>
            <w:shd w:val="clear" w:color="auto" w:fill="auto"/>
            <w:noWrap/>
            <w:vAlign w:val="bottom"/>
            <w:hideMark/>
          </w:tcPr>
          <w:p w14:paraId="7F57D53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0.193</w:t>
            </w:r>
          </w:p>
        </w:tc>
        <w:tc>
          <w:tcPr>
            <w:tcW w:w="1200" w:type="dxa"/>
            <w:tcBorders>
              <w:top w:val="nil"/>
              <w:left w:val="nil"/>
              <w:bottom w:val="single" w:sz="4" w:space="0" w:color="auto"/>
              <w:right w:val="single" w:sz="4" w:space="0" w:color="auto"/>
            </w:tcBorders>
            <w:shd w:val="clear" w:color="auto" w:fill="auto"/>
            <w:noWrap/>
            <w:vAlign w:val="bottom"/>
            <w:hideMark/>
          </w:tcPr>
          <w:p w14:paraId="679C355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-0.210</w:t>
            </w:r>
          </w:p>
        </w:tc>
      </w:tr>
      <w:tr w:rsidR="004C03FF" w:rsidRPr="004C03FF" w14:paraId="06745846"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01D3088A" w14:textId="77777777" w:rsidR="004C03FF" w:rsidRPr="004C03FF" w:rsidRDefault="004C03FF" w:rsidP="004C03FF">
            <w:pPr>
              <w:spacing w:after="0" w:line="240" w:lineRule="auto"/>
              <w:jc w:val="left"/>
              <w:rPr>
                <w:rFonts w:eastAsia="Times New Roman" w:cs="Times New Roman"/>
                <w:color w:val="000000"/>
                <w:sz w:val="22"/>
                <w:szCs w:val="22"/>
                <w:lang w:eastAsia="es-AR"/>
              </w:rPr>
            </w:pPr>
            <w:r w:rsidRPr="004C03FF">
              <w:rPr>
                <w:rFonts w:eastAsia="Times New Roman" w:cs="Times New Roman"/>
                <w:color w:val="000000"/>
                <w:sz w:val="22"/>
                <w:szCs w:val="22"/>
                <w:lang w:eastAsia="es-AR"/>
              </w:rPr>
              <w:t>Rate_wage0307</w:t>
            </w:r>
          </w:p>
        </w:tc>
        <w:tc>
          <w:tcPr>
            <w:tcW w:w="1222" w:type="dxa"/>
            <w:tcBorders>
              <w:top w:val="nil"/>
              <w:left w:val="nil"/>
              <w:bottom w:val="single" w:sz="4" w:space="0" w:color="auto"/>
              <w:right w:val="single" w:sz="4" w:space="0" w:color="auto"/>
            </w:tcBorders>
            <w:shd w:val="clear" w:color="auto" w:fill="auto"/>
            <w:noWrap/>
            <w:vAlign w:val="bottom"/>
            <w:hideMark/>
          </w:tcPr>
          <w:p w14:paraId="17FB4FE8"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-0.686**</w:t>
            </w:r>
          </w:p>
        </w:tc>
        <w:tc>
          <w:tcPr>
            <w:tcW w:w="1200" w:type="dxa"/>
            <w:tcBorders>
              <w:top w:val="nil"/>
              <w:left w:val="nil"/>
              <w:bottom w:val="single" w:sz="4" w:space="0" w:color="auto"/>
              <w:right w:val="single" w:sz="4" w:space="0" w:color="auto"/>
            </w:tcBorders>
            <w:shd w:val="clear" w:color="auto" w:fill="auto"/>
            <w:noWrap/>
            <w:vAlign w:val="bottom"/>
            <w:hideMark/>
          </w:tcPr>
          <w:p w14:paraId="1F352C7C"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-0.367*</w:t>
            </w:r>
          </w:p>
        </w:tc>
        <w:tc>
          <w:tcPr>
            <w:tcW w:w="1209" w:type="dxa"/>
            <w:tcBorders>
              <w:top w:val="nil"/>
              <w:left w:val="nil"/>
              <w:bottom w:val="single" w:sz="4" w:space="0" w:color="auto"/>
              <w:right w:val="single" w:sz="4" w:space="0" w:color="auto"/>
            </w:tcBorders>
            <w:shd w:val="clear" w:color="auto" w:fill="auto"/>
            <w:noWrap/>
            <w:vAlign w:val="bottom"/>
            <w:hideMark/>
          </w:tcPr>
          <w:p w14:paraId="55F85A2D"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-1.347***</w:t>
            </w:r>
          </w:p>
        </w:tc>
        <w:tc>
          <w:tcPr>
            <w:tcW w:w="1200" w:type="dxa"/>
            <w:tcBorders>
              <w:top w:val="nil"/>
              <w:left w:val="nil"/>
              <w:bottom w:val="single" w:sz="4" w:space="0" w:color="auto"/>
              <w:right w:val="single" w:sz="4" w:space="0" w:color="auto"/>
            </w:tcBorders>
            <w:shd w:val="clear" w:color="auto" w:fill="auto"/>
            <w:noWrap/>
            <w:vAlign w:val="bottom"/>
            <w:hideMark/>
          </w:tcPr>
          <w:p w14:paraId="33A854FA"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-0.447*</w:t>
            </w:r>
          </w:p>
        </w:tc>
        <w:tc>
          <w:tcPr>
            <w:tcW w:w="1210" w:type="dxa"/>
            <w:tcBorders>
              <w:top w:val="nil"/>
              <w:left w:val="nil"/>
              <w:bottom w:val="single" w:sz="4" w:space="0" w:color="auto"/>
              <w:right w:val="single" w:sz="4" w:space="0" w:color="auto"/>
            </w:tcBorders>
            <w:shd w:val="clear" w:color="auto" w:fill="auto"/>
            <w:noWrap/>
            <w:vAlign w:val="bottom"/>
            <w:hideMark/>
          </w:tcPr>
          <w:p w14:paraId="5BD0D27C"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0.065</w:t>
            </w:r>
          </w:p>
        </w:tc>
        <w:tc>
          <w:tcPr>
            <w:tcW w:w="1200" w:type="dxa"/>
            <w:tcBorders>
              <w:top w:val="nil"/>
              <w:left w:val="nil"/>
              <w:bottom w:val="single" w:sz="4" w:space="0" w:color="auto"/>
              <w:right w:val="single" w:sz="4" w:space="0" w:color="auto"/>
            </w:tcBorders>
            <w:shd w:val="clear" w:color="auto" w:fill="auto"/>
            <w:noWrap/>
            <w:vAlign w:val="bottom"/>
            <w:hideMark/>
          </w:tcPr>
          <w:p w14:paraId="7527CCD0"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-0.210</w:t>
            </w:r>
          </w:p>
        </w:tc>
        <w:tc>
          <w:tcPr>
            <w:tcW w:w="1068" w:type="dxa"/>
            <w:tcBorders>
              <w:top w:val="nil"/>
              <w:left w:val="nil"/>
              <w:bottom w:val="single" w:sz="4" w:space="0" w:color="auto"/>
              <w:right w:val="single" w:sz="4" w:space="0" w:color="auto"/>
            </w:tcBorders>
            <w:shd w:val="clear" w:color="auto" w:fill="auto"/>
            <w:noWrap/>
            <w:vAlign w:val="bottom"/>
            <w:hideMark/>
          </w:tcPr>
          <w:p w14:paraId="12E94BBD"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-1.303***</w:t>
            </w:r>
          </w:p>
        </w:tc>
        <w:tc>
          <w:tcPr>
            <w:tcW w:w="1200" w:type="dxa"/>
            <w:tcBorders>
              <w:top w:val="nil"/>
              <w:left w:val="nil"/>
              <w:bottom w:val="single" w:sz="4" w:space="0" w:color="auto"/>
              <w:right w:val="single" w:sz="4" w:space="0" w:color="auto"/>
            </w:tcBorders>
            <w:shd w:val="clear" w:color="auto" w:fill="auto"/>
            <w:noWrap/>
            <w:vAlign w:val="bottom"/>
            <w:hideMark/>
          </w:tcPr>
          <w:p w14:paraId="1B0B550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-0.772***</w:t>
            </w:r>
          </w:p>
        </w:tc>
        <w:tc>
          <w:tcPr>
            <w:tcW w:w="1068" w:type="dxa"/>
            <w:tcBorders>
              <w:top w:val="nil"/>
              <w:left w:val="nil"/>
              <w:bottom w:val="single" w:sz="4" w:space="0" w:color="auto"/>
              <w:right w:val="single" w:sz="4" w:space="0" w:color="auto"/>
            </w:tcBorders>
            <w:shd w:val="clear" w:color="auto" w:fill="auto"/>
            <w:noWrap/>
            <w:vAlign w:val="bottom"/>
            <w:hideMark/>
          </w:tcPr>
          <w:p w14:paraId="1CC985F9"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0.620</w:t>
            </w:r>
          </w:p>
        </w:tc>
        <w:tc>
          <w:tcPr>
            <w:tcW w:w="1200" w:type="dxa"/>
            <w:tcBorders>
              <w:top w:val="nil"/>
              <w:left w:val="nil"/>
              <w:bottom w:val="single" w:sz="4" w:space="0" w:color="auto"/>
              <w:right w:val="single" w:sz="4" w:space="0" w:color="auto"/>
            </w:tcBorders>
            <w:shd w:val="clear" w:color="auto" w:fill="auto"/>
            <w:noWrap/>
            <w:vAlign w:val="bottom"/>
            <w:hideMark/>
          </w:tcPr>
          <w:p w14:paraId="7A255D2C"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0.501</w:t>
            </w:r>
          </w:p>
        </w:tc>
      </w:tr>
      <w:tr w:rsidR="004C03FF" w:rsidRPr="004C03FF" w14:paraId="3D0AD824"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386B2F80" w14:textId="77777777" w:rsidR="004C03FF" w:rsidRPr="004C03FF" w:rsidRDefault="004C03FF" w:rsidP="004C03FF">
            <w:pPr>
              <w:spacing w:after="0" w:line="240" w:lineRule="auto"/>
              <w:jc w:val="left"/>
              <w:rPr>
                <w:rFonts w:eastAsia="Times New Roman" w:cs="Times New Roman"/>
                <w:color w:val="000000"/>
                <w:sz w:val="22"/>
                <w:szCs w:val="22"/>
                <w:lang w:eastAsia="es-AR"/>
              </w:rPr>
            </w:pPr>
            <w:proofErr w:type="spellStart"/>
            <w:r w:rsidRPr="004C03FF">
              <w:rPr>
                <w:rFonts w:eastAsia="Times New Roman" w:cs="Times New Roman"/>
                <w:color w:val="000000"/>
                <w:sz w:val="22"/>
                <w:szCs w:val="22"/>
                <w:lang w:eastAsia="es-AR"/>
              </w:rPr>
              <w:t>Innovation</w:t>
            </w:r>
            <w:proofErr w:type="spellEnd"/>
          </w:p>
        </w:tc>
        <w:tc>
          <w:tcPr>
            <w:tcW w:w="1222" w:type="dxa"/>
            <w:tcBorders>
              <w:top w:val="nil"/>
              <w:left w:val="nil"/>
              <w:bottom w:val="single" w:sz="4" w:space="0" w:color="auto"/>
              <w:right w:val="single" w:sz="4" w:space="0" w:color="auto"/>
            </w:tcBorders>
            <w:shd w:val="clear" w:color="auto" w:fill="auto"/>
            <w:noWrap/>
            <w:vAlign w:val="bottom"/>
            <w:hideMark/>
          </w:tcPr>
          <w:p w14:paraId="030A129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0.150***</w:t>
            </w:r>
          </w:p>
        </w:tc>
        <w:tc>
          <w:tcPr>
            <w:tcW w:w="1200" w:type="dxa"/>
            <w:tcBorders>
              <w:top w:val="nil"/>
              <w:left w:val="nil"/>
              <w:bottom w:val="single" w:sz="4" w:space="0" w:color="auto"/>
              <w:right w:val="single" w:sz="4" w:space="0" w:color="auto"/>
            </w:tcBorders>
            <w:shd w:val="clear" w:color="auto" w:fill="auto"/>
            <w:noWrap/>
            <w:vAlign w:val="bottom"/>
            <w:hideMark/>
          </w:tcPr>
          <w:p w14:paraId="34775969"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0.033</w:t>
            </w:r>
          </w:p>
        </w:tc>
        <w:tc>
          <w:tcPr>
            <w:tcW w:w="1209" w:type="dxa"/>
            <w:tcBorders>
              <w:top w:val="nil"/>
              <w:left w:val="nil"/>
              <w:bottom w:val="single" w:sz="4" w:space="0" w:color="auto"/>
              <w:right w:val="single" w:sz="4" w:space="0" w:color="auto"/>
            </w:tcBorders>
            <w:shd w:val="clear" w:color="auto" w:fill="auto"/>
            <w:noWrap/>
            <w:vAlign w:val="bottom"/>
            <w:hideMark/>
          </w:tcPr>
          <w:p w14:paraId="61ADD9FA"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0.116*</w:t>
            </w:r>
          </w:p>
        </w:tc>
        <w:tc>
          <w:tcPr>
            <w:tcW w:w="1200" w:type="dxa"/>
            <w:tcBorders>
              <w:top w:val="nil"/>
              <w:left w:val="nil"/>
              <w:bottom w:val="single" w:sz="4" w:space="0" w:color="auto"/>
              <w:right w:val="single" w:sz="4" w:space="0" w:color="auto"/>
            </w:tcBorders>
            <w:shd w:val="clear" w:color="auto" w:fill="auto"/>
            <w:noWrap/>
            <w:vAlign w:val="bottom"/>
            <w:hideMark/>
          </w:tcPr>
          <w:p w14:paraId="65902B9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0.068</w:t>
            </w:r>
          </w:p>
        </w:tc>
        <w:tc>
          <w:tcPr>
            <w:tcW w:w="1210" w:type="dxa"/>
            <w:tcBorders>
              <w:top w:val="nil"/>
              <w:left w:val="nil"/>
              <w:bottom w:val="single" w:sz="4" w:space="0" w:color="auto"/>
              <w:right w:val="single" w:sz="4" w:space="0" w:color="auto"/>
            </w:tcBorders>
            <w:shd w:val="clear" w:color="auto" w:fill="auto"/>
            <w:noWrap/>
            <w:vAlign w:val="bottom"/>
            <w:hideMark/>
          </w:tcPr>
          <w:p w14:paraId="66E4ABD9"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0.179**</w:t>
            </w:r>
          </w:p>
        </w:tc>
        <w:tc>
          <w:tcPr>
            <w:tcW w:w="1200" w:type="dxa"/>
            <w:tcBorders>
              <w:top w:val="nil"/>
              <w:left w:val="nil"/>
              <w:bottom w:val="single" w:sz="4" w:space="0" w:color="auto"/>
              <w:right w:val="single" w:sz="4" w:space="0" w:color="auto"/>
            </w:tcBorders>
            <w:shd w:val="clear" w:color="auto" w:fill="auto"/>
            <w:noWrap/>
            <w:vAlign w:val="bottom"/>
            <w:hideMark/>
          </w:tcPr>
          <w:p w14:paraId="6DA190ED"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0.000</w:t>
            </w:r>
          </w:p>
        </w:tc>
        <w:tc>
          <w:tcPr>
            <w:tcW w:w="1068" w:type="dxa"/>
            <w:tcBorders>
              <w:top w:val="nil"/>
              <w:left w:val="nil"/>
              <w:bottom w:val="single" w:sz="4" w:space="0" w:color="auto"/>
              <w:right w:val="single" w:sz="4" w:space="0" w:color="auto"/>
            </w:tcBorders>
            <w:shd w:val="clear" w:color="auto" w:fill="auto"/>
            <w:noWrap/>
            <w:vAlign w:val="bottom"/>
            <w:hideMark/>
          </w:tcPr>
          <w:p w14:paraId="6A41BFE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0.124**</w:t>
            </w:r>
          </w:p>
        </w:tc>
        <w:tc>
          <w:tcPr>
            <w:tcW w:w="1200" w:type="dxa"/>
            <w:tcBorders>
              <w:top w:val="nil"/>
              <w:left w:val="nil"/>
              <w:bottom w:val="single" w:sz="4" w:space="0" w:color="auto"/>
              <w:right w:val="single" w:sz="4" w:space="0" w:color="auto"/>
            </w:tcBorders>
            <w:shd w:val="clear" w:color="auto" w:fill="auto"/>
            <w:noWrap/>
            <w:vAlign w:val="bottom"/>
            <w:hideMark/>
          </w:tcPr>
          <w:p w14:paraId="776C82E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0.037</w:t>
            </w:r>
          </w:p>
        </w:tc>
        <w:tc>
          <w:tcPr>
            <w:tcW w:w="1068" w:type="dxa"/>
            <w:tcBorders>
              <w:top w:val="nil"/>
              <w:left w:val="nil"/>
              <w:bottom w:val="single" w:sz="4" w:space="0" w:color="auto"/>
              <w:right w:val="single" w:sz="4" w:space="0" w:color="auto"/>
            </w:tcBorders>
            <w:shd w:val="clear" w:color="auto" w:fill="auto"/>
            <w:noWrap/>
            <w:vAlign w:val="bottom"/>
            <w:hideMark/>
          </w:tcPr>
          <w:p w14:paraId="18E673F2"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0.193**</w:t>
            </w:r>
          </w:p>
        </w:tc>
        <w:tc>
          <w:tcPr>
            <w:tcW w:w="1200" w:type="dxa"/>
            <w:tcBorders>
              <w:top w:val="nil"/>
              <w:left w:val="nil"/>
              <w:bottom w:val="single" w:sz="4" w:space="0" w:color="auto"/>
              <w:right w:val="single" w:sz="4" w:space="0" w:color="auto"/>
            </w:tcBorders>
            <w:shd w:val="clear" w:color="auto" w:fill="auto"/>
            <w:noWrap/>
            <w:vAlign w:val="bottom"/>
            <w:hideMark/>
          </w:tcPr>
          <w:p w14:paraId="5BFABBFE"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0.003</w:t>
            </w:r>
          </w:p>
        </w:tc>
      </w:tr>
      <w:tr w:rsidR="004C03FF" w:rsidRPr="004C03FF" w14:paraId="5945210A"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6412A0E3" w14:textId="77777777" w:rsidR="004C03FF" w:rsidRPr="004C03FF" w:rsidRDefault="004C03FF" w:rsidP="004C03FF">
            <w:pPr>
              <w:spacing w:after="0" w:line="240" w:lineRule="auto"/>
              <w:jc w:val="left"/>
              <w:rPr>
                <w:rFonts w:eastAsia="Times New Roman" w:cs="Times New Roman"/>
                <w:color w:val="000000"/>
                <w:sz w:val="22"/>
                <w:szCs w:val="22"/>
                <w:lang w:eastAsia="es-AR"/>
              </w:rPr>
            </w:pPr>
            <w:proofErr w:type="spellStart"/>
            <w:r w:rsidRPr="004C03FF">
              <w:rPr>
                <w:rFonts w:eastAsia="Times New Roman" w:cs="Times New Roman"/>
                <w:color w:val="000000"/>
                <w:sz w:val="22"/>
                <w:szCs w:val="22"/>
                <w:lang w:eastAsia="es-AR"/>
              </w:rPr>
              <w:t>Age</w:t>
            </w:r>
            <w:proofErr w:type="spellEnd"/>
          </w:p>
        </w:tc>
        <w:tc>
          <w:tcPr>
            <w:tcW w:w="1222" w:type="dxa"/>
            <w:tcBorders>
              <w:top w:val="nil"/>
              <w:left w:val="nil"/>
              <w:bottom w:val="single" w:sz="4" w:space="0" w:color="auto"/>
              <w:right w:val="single" w:sz="4" w:space="0" w:color="auto"/>
            </w:tcBorders>
            <w:shd w:val="clear" w:color="auto" w:fill="auto"/>
            <w:noWrap/>
            <w:vAlign w:val="bottom"/>
            <w:hideMark/>
          </w:tcPr>
          <w:p w14:paraId="39B30D11"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-0.004**</w:t>
            </w:r>
          </w:p>
        </w:tc>
        <w:tc>
          <w:tcPr>
            <w:tcW w:w="1200" w:type="dxa"/>
            <w:tcBorders>
              <w:top w:val="nil"/>
              <w:left w:val="nil"/>
              <w:bottom w:val="single" w:sz="4" w:space="0" w:color="auto"/>
              <w:right w:val="single" w:sz="4" w:space="0" w:color="auto"/>
            </w:tcBorders>
            <w:shd w:val="clear" w:color="auto" w:fill="auto"/>
            <w:noWrap/>
            <w:vAlign w:val="bottom"/>
            <w:hideMark/>
          </w:tcPr>
          <w:p w14:paraId="25090E88"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-0.005***</w:t>
            </w:r>
          </w:p>
        </w:tc>
        <w:tc>
          <w:tcPr>
            <w:tcW w:w="1209" w:type="dxa"/>
            <w:tcBorders>
              <w:top w:val="nil"/>
              <w:left w:val="nil"/>
              <w:bottom w:val="single" w:sz="4" w:space="0" w:color="auto"/>
              <w:right w:val="single" w:sz="4" w:space="0" w:color="auto"/>
            </w:tcBorders>
            <w:shd w:val="clear" w:color="auto" w:fill="auto"/>
            <w:noWrap/>
            <w:vAlign w:val="bottom"/>
            <w:hideMark/>
          </w:tcPr>
          <w:p w14:paraId="677F4A93"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-0.003</w:t>
            </w:r>
          </w:p>
        </w:tc>
        <w:tc>
          <w:tcPr>
            <w:tcW w:w="1200" w:type="dxa"/>
            <w:tcBorders>
              <w:top w:val="nil"/>
              <w:left w:val="nil"/>
              <w:bottom w:val="single" w:sz="4" w:space="0" w:color="auto"/>
              <w:right w:val="single" w:sz="4" w:space="0" w:color="auto"/>
            </w:tcBorders>
            <w:shd w:val="clear" w:color="auto" w:fill="auto"/>
            <w:noWrap/>
            <w:vAlign w:val="bottom"/>
            <w:hideMark/>
          </w:tcPr>
          <w:p w14:paraId="195CDB12"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-0.006***</w:t>
            </w:r>
          </w:p>
        </w:tc>
        <w:tc>
          <w:tcPr>
            <w:tcW w:w="1210" w:type="dxa"/>
            <w:tcBorders>
              <w:top w:val="nil"/>
              <w:left w:val="nil"/>
              <w:bottom w:val="single" w:sz="4" w:space="0" w:color="auto"/>
              <w:right w:val="single" w:sz="4" w:space="0" w:color="auto"/>
            </w:tcBorders>
            <w:shd w:val="clear" w:color="auto" w:fill="auto"/>
            <w:noWrap/>
            <w:vAlign w:val="bottom"/>
            <w:hideMark/>
          </w:tcPr>
          <w:p w14:paraId="1A4D0A13"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-0.003</w:t>
            </w:r>
          </w:p>
        </w:tc>
        <w:tc>
          <w:tcPr>
            <w:tcW w:w="1200" w:type="dxa"/>
            <w:tcBorders>
              <w:top w:val="nil"/>
              <w:left w:val="nil"/>
              <w:bottom w:val="single" w:sz="4" w:space="0" w:color="auto"/>
              <w:right w:val="single" w:sz="4" w:space="0" w:color="auto"/>
            </w:tcBorders>
            <w:shd w:val="clear" w:color="auto" w:fill="auto"/>
            <w:noWrap/>
            <w:vAlign w:val="bottom"/>
            <w:hideMark/>
          </w:tcPr>
          <w:p w14:paraId="188827CA"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-0.005***</w:t>
            </w:r>
          </w:p>
        </w:tc>
        <w:tc>
          <w:tcPr>
            <w:tcW w:w="1068" w:type="dxa"/>
            <w:tcBorders>
              <w:top w:val="nil"/>
              <w:left w:val="nil"/>
              <w:bottom w:val="single" w:sz="4" w:space="0" w:color="auto"/>
              <w:right w:val="single" w:sz="4" w:space="0" w:color="auto"/>
            </w:tcBorders>
            <w:shd w:val="clear" w:color="auto" w:fill="auto"/>
            <w:noWrap/>
            <w:vAlign w:val="bottom"/>
            <w:hideMark/>
          </w:tcPr>
          <w:p w14:paraId="3A6B1C4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-0.003</w:t>
            </w:r>
          </w:p>
        </w:tc>
        <w:tc>
          <w:tcPr>
            <w:tcW w:w="1200" w:type="dxa"/>
            <w:tcBorders>
              <w:top w:val="nil"/>
              <w:left w:val="nil"/>
              <w:bottom w:val="single" w:sz="4" w:space="0" w:color="auto"/>
              <w:right w:val="single" w:sz="4" w:space="0" w:color="auto"/>
            </w:tcBorders>
            <w:shd w:val="clear" w:color="auto" w:fill="auto"/>
            <w:noWrap/>
            <w:vAlign w:val="bottom"/>
            <w:hideMark/>
          </w:tcPr>
          <w:p w14:paraId="3A292DA8"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-0.005***</w:t>
            </w:r>
          </w:p>
        </w:tc>
        <w:tc>
          <w:tcPr>
            <w:tcW w:w="1068" w:type="dxa"/>
            <w:tcBorders>
              <w:top w:val="nil"/>
              <w:left w:val="nil"/>
              <w:bottom w:val="single" w:sz="4" w:space="0" w:color="auto"/>
              <w:right w:val="single" w:sz="4" w:space="0" w:color="auto"/>
            </w:tcBorders>
            <w:shd w:val="clear" w:color="auto" w:fill="auto"/>
            <w:noWrap/>
            <w:vAlign w:val="bottom"/>
            <w:hideMark/>
          </w:tcPr>
          <w:p w14:paraId="58C959A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-0.003</w:t>
            </w:r>
          </w:p>
        </w:tc>
        <w:tc>
          <w:tcPr>
            <w:tcW w:w="1200" w:type="dxa"/>
            <w:tcBorders>
              <w:top w:val="nil"/>
              <w:left w:val="nil"/>
              <w:bottom w:val="single" w:sz="4" w:space="0" w:color="auto"/>
              <w:right w:val="single" w:sz="4" w:space="0" w:color="auto"/>
            </w:tcBorders>
            <w:shd w:val="clear" w:color="auto" w:fill="auto"/>
            <w:noWrap/>
            <w:vAlign w:val="bottom"/>
            <w:hideMark/>
          </w:tcPr>
          <w:p w14:paraId="3F812A6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-0.005**</w:t>
            </w:r>
          </w:p>
        </w:tc>
      </w:tr>
      <w:tr w:rsidR="004C03FF" w:rsidRPr="004C03FF" w14:paraId="7DEED16F"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C115220" w14:textId="77777777" w:rsidR="004C03FF" w:rsidRPr="004C03FF" w:rsidRDefault="004C03FF" w:rsidP="004C03FF">
            <w:pPr>
              <w:spacing w:after="0" w:line="240" w:lineRule="auto"/>
              <w:jc w:val="left"/>
              <w:rPr>
                <w:rFonts w:eastAsia="Times New Roman" w:cs="Times New Roman"/>
                <w:color w:val="000000"/>
                <w:sz w:val="22"/>
                <w:szCs w:val="22"/>
                <w:lang w:eastAsia="es-AR"/>
              </w:rPr>
            </w:pPr>
            <w:r w:rsidRPr="004C03FF">
              <w:rPr>
                <w:rFonts w:eastAsia="Times New Roman" w:cs="Times New Roman"/>
                <w:color w:val="000000"/>
                <w:sz w:val="22"/>
                <w:szCs w:val="22"/>
                <w:lang w:eastAsia="es-AR"/>
              </w:rPr>
              <w:t>_</w:t>
            </w:r>
            <w:proofErr w:type="spellStart"/>
            <w:r w:rsidRPr="004C03FF">
              <w:rPr>
                <w:rFonts w:eastAsia="Times New Roman" w:cs="Times New Roman"/>
                <w:color w:val="000000"/>
                <w:sz w:val="22"/>
                <w:szCs w:val="22"/>
                <w:lang w:eastAsia="es-AR"/>
              </w:rPr>
              <w:t>cons</w:t>
            </w:r>
            <w:proofErr w:type="spellEnd"/>
          </w:p>
        </w:tc>
        <w:tc>
          <w:tcPr>
            <w:tcW w:w="1222" w:type="dxa"/>
            <w:tcBorders>
              <w:top w:val="nil"/>
              <w:left w:val="nil"/>
              <w:bottom w:val="single" w:sz="4" w:space="0" w:color="auto"/>
              <w:right w:val="single" w:sz="4" w:space="0" w:color="auto"/>
            </w:tcBorders>
            <w:shd w:val="clear" w:color="auto" w:fill="auto"/>
            <w:noWrap/>
            <w:vAlign w:val="bottom"/>
            <w:hideMark/>
          </w:tcPr>
          <w:p w14:paraId="4F887921"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18.673***</w:t>
            </w:r>
          </w:p>
        </w:tc>
        <w:tc>
          <w:tcPr>
            <w:tcW w:w="1200" w:type="dxa"/>
            <w:tcBorders>
              <w:top w:val="nil"/>
              <w:left w:val="nil"/>
              <w:bottom w:val="single" w:sz="4" w:space="0" w:color="auto"/>
              <w:right w:val="single" w:sz="4" w:space="0" w:color="auto"/>
            </w:tcBorders>
            <w:shd w:val="clear" w:color="auto" w:fill="auto"/>
            <w:noWrap/>
            <w:vAlign w:val="bottom"/>
            <w:hideMark/>
          </w:tcPr>
          <w:p w14:paraId="419BC938"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20.067***</w:t>
            </w:r>
          </w:p>
        </w:tc>
        <w:tc>
          <w:tcPr>
            <w:tcW w:w="1209" w:type="dxa"/>
            <w:tcBorders>
              <w:top w:val="nil"/>
              <w:left w:val="nil"/>
              <w:bottom w:val="single" w:sz="4" w:space="0" w:color="auto"/>
              <w:right w:val="single" w:sz="4" w:space="0" w:color="auto"/>
            </w:tcBorders>
            <w:shd w:val="clear" w:color="auto" w:fill="auto"/>
            <w:noWrap/>
            <w:vAlign w:val="bottom"/>
            <w:hideMark/>
          </w:tcPr>
          <w:p w14:paraId="1083483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16.082***</w:t>
            </w:r>
          </w:p>
        </w:tc>
        <w:tc>
          <w:tcPr>
            <w:tcW w:w="1200" w:type="dxa"/>
            <w:tcBorders>
              <w:top w:val="nil"/>
              <w:left w:val="nil"/>
              <w:bottom w:val="single" w:sz="4" w:space="0" w:color="auto"/>
              <w:right w:val="single" w:sz="4" w:space="0" w:color="auto"/>
            </w:tcBorders>
            <w:shd w:val="clear" w:color="auto" w:fill="auto"/>
            <w:noWrap/>
            <w:vAlign w:val="bottom"/>
            <w:hideMark/>
          </w:tcPr>
          <w:p w14:paraId="1775CB1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21.397***</w:t>
            </w:r>
          </w:p>
        </w:tc>
        <w:tc>
          <w:tcPr>
            <w:tcW w:w="1210" w:type="dxa"/>
            <w:tcBorders>
              <w:top w:val="nil"/>
              <w:left w:val="nil"/>
              <w:bottom w:val="single" w:sz="4" w:space="0" w:color="auto"/>
              <w:right w:val="single" w:sz="4" w:space="0" w:color="auto"/>
            </w:tcBorders>
            <w:shd w:val="clear" w:color="auto" w:fill="auto"/>
            <w:noWrap/>
            <w:vAlign w:val="bottom"/>
            <w:hideMark/>
          </w:tcPr>
          <w:p w14:paraId="1CFCB67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16.495***</w:t>
            </w:r>
          </w:p>
        </w:tc>
        <w:tc>
          <w:tcPr>
            <w:tcW w:w="1200" w:type="dxa"/>
            <w:tcBorders>
              <w:top w:val="nil"/>
              <w:left w:val="nil"/>
              <w:bottom w:val="single" w:sz="4" w:space="0" w:color="auto"/>
              <w:right w:val="single" w:sz="4" w:space="0" w:color="auto"/>
            </w:tcBorders>
            <w:shd w:val="clear" w:color="auto" w:fill="auto"/>
            <w:noWrap/>
            <w:vAlign w:val="bottom"/>
            <w:hideMark/>
          </w:tcPr>
          <w:p w14:paraId="25F0411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19.553***</w:t>
            </w:r>
          </w:p>
        </w:tc>
        <w:tc>
          <w:tcPr>
            <w:tcW w:w="1068" w:type="dxa"/>
            <w:tcBorders>
              <w:top w:val="nil"/>
              <w:left w:val="nil"/>
              <w:bottom w:val="single" w:sz="4" w:space="0" w:color="auto"/>
              <w:right w:val="single" w:sz="4" w:space="0" w:color="auto"/>
            </w:tcBorders>
            <w:shd w:val="clear" w:color="auto" w:fill="auto"/>
            <w:noWrap/>
            <w:vAlign w:val="bottom"/>
            <w:hideMark/>
          </w:tcPr>
          <w:p w14:paraId="0CFE6ECC"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17.317***</w:t>
            </w:r>
          </w:p>
        </w:tc>
        <w:tc>
          <w:tcPr>
            <w:tcW w:w="1200" w:type="dxa"/>
            <w:tcBorders>
              <w:top w:val="nil"/>
              <w:left w:val="nil"/>
              <w:bottom w:val="single" w:sz="4" w:space="0" w:color="auto"/>
              <w:right w:val="single" w:sz="4" w:space="0" w:color="auto"/>
            </w:tcBorders>
            <w:shd w:val="clear" w:color="auto" w:fill="auto"/>
            <w:noWrap/>
            <w:vAlign w:val="bottom"/>
            <w:hideMark/>
          </w:tcPr>
          <w:p w14:paraId="17ED2E40"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20.037***</w:t>
            </w:r>
          </w:p>
        </w:tc>
        <w:tc>
          <w:tcPr>
            <w:tcW w:w="1068" w:type="dxa"/>
            <w:tcBorders>
              <w:top w:val="nil"/>
              <w:left w:val="nil"/>
              <w:bottom w:val="single" w:sz="4" w:space="0" w:color="auto"/>
              <w:right w:val="single" w:sz="4" w:space="0" w:color="auto"/>
            </w:tcBorders>
            <w:shd w:val="clear" w:color="auto" w:fill="auto"/>
            <w:noWrap/>
            <w:vAlign w:val="bottom"/>
            <w:hideMark/>
          </w:tcPr>
          <w:p w14:paraId="01141230"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16.728***</w:t>
            </w:r>
          </w:p>
        </w:tc>
        <w:tc>
          <w:tcPr>
            <w:tcW w:w="1200" w:type="dxa"/>
            <w:tcBorders>
              <w:top w:val="nil"/>
              <w:left w:val="nil"/>
              <w:bottom w:val="single" w:sz="4" w:space="0" w:color="auto"/>
              <w:right w:val="single" w:sz="4" w:space="0" w:color="auto"/>
            </w:tcBorders>
            <w:shd w:val="clear" w:color="auto" w:fill="auto"/>
            <w:noWrap/>
            <w:vAlign w:val="bottom"/>
            <w:hideMark/>
          </w:tcPr>
          <w:p w14:paraId="7A0A731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18.635***</w:t>
            </w:r>
          </w:p>
        </w:tc>
      </w:tr>
      <w:tr w:rsidR="004C03FF" w:rsidRPr="004C03FF" w14:paraId="72EE8FE7"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DE59A04" w14:textId="77777777" w:rsidR="004C03FF" w:rsidRPr="004C03FF" w:rsidRDefault="004C03FF" w:rsidP="004C03FF">
            <w:pPr>
              <w:spacing w:after="0" w:line="240" w:lineRule="auto"/>
              <w:jc w:val="left"/>
              <w:rPr>
                <w:rFonts w:eastAsia="Times New Roman" w:cs="Times New Roman"/>
                <w:color w:val="000000"/>
                <w:sz w:val="22"/>
                <w:szCs w:val="22"/>
                <w:lang w:eastAsia="es-AR"/>
              </w:rPr>
            </w:pPr>
            <w:r w:rsidRPr="004C03FF">
              <w:rPr>
                <w:rFonts w:eastAsia="Times New Roman" w:cs="Times New Roman"/>
                <w:color w:val="000000"/>
                <w:sz w:val="22"/>
                <w:szCs w:val="22"/>
                <w:lang w:eastAsia="es-AR"/>
              </w:rPr>
              <w:t>chi2 p</w:t>
            </w:r>
          </w:p>
        </w:tc>
        <w:tc>
          <w:tcPr>
            <w:tcW w:w="1222" w:type="dxa"/>
            <w:tcBorders>
              <w:top w:val="nil"/>
              <w:left w:val="nil"/>
              <w:bottom w:val="single" w:sz="4" w:space="0" w:color="auto"/>
              <w:right w:val="single" w:sz="4" w:space="0" w:color="auto"/>
            </w:tcBorders>
            <w:shd w:val="clear" w:color="auto" w:fill="auto"/>
            <w:noWrap/>
            <w:vAlign w:val="bottom"/>
            <w:hideMark/>
          </w:tcPr>
          <w:p w14:paraId="7C526DAE"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6.66e-23</w:t>
            </w:r>
          </w:p>
        </w:tc>
        <w:tc>
          <w:tcPr>
            <w:tcW w:w="1200" w:type="dxa"/>
            <w:tcBorders>
              <w:top w:val="nil"/>
              <w:left w:val="nil"/>
              <w:bottom w:val="single" w:sz="4" w:space="0" w:color="auto"/>
              <w:right w:val="single" w:sz="4" w:space="0" w:color="auto"/>
            </w:tcBorders>
            <w:shd w:val="clear" w:color="auto" w:fill="auto"/>
            <w:noWrap/>
            <w:vAlign w:val="bottom"/>
            <w:hideMark/>
          </w:tcPr>
          <w:p w14:paraId="0146B170"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2.67e-29</w:t>
            </w:r>
          </w:p>
        </w:tc>
        <w:tc>
          <w:tcPr>
            <w:tcW w:w="1209" w:type="dxa"/>
            <w:tcBorders>
              <w:top w:val="nil"/>
              <w:left w:val="nil"/>
              <w:bottom w:val="single" w:sz="4" w:space="0" w:color="auto"/>
              <w:right w:val="single" w:sz="4" w:space="0" w:color="auto"/>
            </w:tcBorders>
            <w:shd w:val="clear" w:color="auto" w:fill="auto"/>
            <w:noWrap/>
            <w:vAlign w:val="bottom"/>
            <w:hideMark/>
          </w:tcPr>
          <w:p w14:paraId="1011C7A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1.14e-13</w:t>
            </w:r>
          </w:p>
        </w:tc>
        <w:tc>
          <w:tcPr>
            <w:tcW w:w="1200" w:type="dxa"/>
            <w:tcBorders>
              <w:top w:val="nil"/>
              <w:left w:val="nil"/>
              <w:bottom w:val="single" w:sz="4" w:space="0" w:color="auto"/>
              <w:right w:val="single" w:sz="4" w:space="0" w:color="auto"/>
            </w:tcBorders>
            <w:shd w:val="clear" w:color="auto" w:fill="auto"/>
            <w:noWrap/>
            <w:vAlign w:val="bottom"/>
            <w:hideMark/>
          </w:tcPr>
          <w:p w14:paraId="1525A48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8.07e-13</w:t>
            </w:r>
          </w:p>
        </w:tc>
        <w:tc>
          <w:tcPr>
            <w:tcW w:w="1210" w:type="dxa"/>
            <w:tcBorders>
              <w:top w:val="nil"/>
              <w:left w:val="nil"/>
              <w:bottom w:val="single" w:sz="4" w:space="0" w:color="auto"/>
              <w:right w:val="single" w:sz="4" w:space="0" w:color="auto"/>
            </w:tcBorders>
            <w:shd w:val="clear" w:color="auto" w:fill="auto"/>
            <w:noWrap/>
            <w:vAlign w:val="bottom"/>
            <w:hideMark/>
          </w:tcPr>
          <w:p w14:paraId="60254689"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1.31e-09</w:t>
            </w:r>
          </w:p>
        </w:tc>
        <w:tc>
          <w:tcPr>
            <w:tcW w:w="1200" w:type="dxa"/>
            <w:tcBorders>
              <w:top w:val="nil"/>
              <w:left w:val="nil"/>
              <w:bottom w:val="single" w:sz="4" w:space="0" w:color="auto"/>
              <w:right w:val="single" w:sz="4" w:space="0" w:color="auto"/>
            </w:tcBorders>
            <w:shd w:val="clear" w:color="auto" w:fill="auto"/>
            <w:noWrap/>
            <w:vAlign w:val="bottom"/>
            <w:hideMark/>
          </w:tcPr>
          <w:p w14:paraId="110FF18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4.17e-12</w:t>
            </w:r>
          </w:p>
        </w:tc>
        <w:tc>
          <w:tcPr>
            <w:tcW w:w="1068" w:type="dxa"/>
            <w:tcBorders>
              <w:top w:val="nil"/>
              <w:left w:val="nil"/>
              <w:bottom w:val="single" w:sz="4" w:space="0" w:color="auto"/>
              <w:right w:val="single" w:sz="4" w:space="0" w:color="auto"/>
            </w:tcBorders>
            <w:shd w:val="clear" w:color="auto" w:fill="auto"/>
            <w:noWrap/>
            <w:vAlign w:val="bottom"/>
            <w:hideMark/>
          </w:tcPr>
          <w:p w14:paraId="2BB11ACA"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2.69e-16</w:t>
            </w:r>
          </w:p>
        </w:tc>
        <w:tc>
          <w:tcPr>
            <w:tcW w:w="1200" w:type="dxa"/>
            <w:tcBorders>
              <w:top w:val="nil"/>
              <w:left w:val="nil"/>
              <w:bottom w:val="single" w:sz="4" w:space="0" w:color="auto"/>
              <w:right w:val="single" w:sz="4" w:space="0" w:color="auto"/>
            </w:tcBorders>
            <w:shd w:val="clear" w:color="auto" w:fill="auto"/>
            <w:noWrap/>
            <w:vAlign w:val="bottom"/>
            <w:hideMark/>
          </w:tcPr>
          <w:p w14:paraId="445D75F3"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5.37e-20</w:t>
            </w:r>
          </w:p>
        </w:tc>
        <w:tc>
          <w:tcPr>
            <w:tcW w:w="1068" w:type="dxa"/>
            <w:tcBorders>
              <w:top w:val="nil"/>
              <w:left w:val="nil"/>
              <w:bottom w:val="single" w:sz="4" w:space="0" w:color="auto"/>
              <w:right w:val="single" w:sz="4" w:space="0" w:color="auto"/>
            </w:tcBorders>
            <w:shd w:val="clear" w:color="auto" w:fill="auto"/>
            <w:noWrap/>
            <w:vAlign w:val="bottom"/>
            <w:hideMark/>
          </w:tcPr>
          <w:p w14:paraId="5082B874"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7.36e-10</w:t>
            </w:r>
          </w:p>
        </w:tc>
        <w:tc>
          <w:tcPr>
            <w:tcW w:w="1200" w:type="dxa"/>
            <w:tcBorders>
              <w:top w:val="nil"/>
              <w:left w:val="nil"/>
              <w:bottom w:val="single" w:sz="4" w:space="0" w:color="auto"/>
              <w:right w:val="single" w:sz="4" w:space="0" w:color="auto"/>
            </w:tcBorders>
            <w:shd w:val="clear" w:color="auto" w:fill="auto"/>
            <w:noWrap/>
            <w:vAlign w:val="bottom"/>
            <w:hideMark/>
          </w:tcPr>
          <w:p w14:paraId="41EB176D"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1.61e-11</w:t>
            </w:r>
          </w:p>
        </w:tc>
      </w:tr>
      <w:tr w:rsidR="004C03FF" w:rsidRPr="004C03FF" w14:paraId="4C25118D" w14:textId="77777777" w:rsidTr="00F927C9">
        <w:trPr>
          <w:trHeight w:val="390"/>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451392EB" w14:textId="77777777" w:rsidR="004C03FF" w:rsidRPr="004C03FF" w:rsidRDefault="004C03FF" w:rsidP="004C03FF">
            <w:pPr>
              <w:spacing w:after="0" w:line="240" w:lineRule="auto"/>
              <w:jc w:val="left"/>
              <w:rPr>
                <w:rFonts w:eastAsia="Times New Roman" w:cs="Times New Roman"/>
                <w:color w:val="000000"/>
                <w:sz w:val="22"/>
                <w:szCs w:val="22"/>
                <w:lang w:eastAsia="es-AR"/>
              </w:rPr>
            </w:pPr>
            <w:r w:rsidRPr="004C03FF">
              <w:rPr>
                <w:rFonts w:eastAsia="Times New Roman" w:cs="Times New Roman"/>
                <w:color w:val="000000"/>
                <w:sz w:val="22"/>
                <w:szCs w:val="22"/>
                <w:lang w:eastAsia="es-AR"/>
              </w:rPr>
              <w:t>N</w:t>
            </w:r>
          </w:p>
        </w:tc>
        <w:tc>
          <w:tcPr>
            <w:tcW w:w="1222" w:type="dxa"/>
            <w:tcBorders>
              <w:top w:val="nil"/>
              <w:left w:val="nil"/>
              <w:bottom w:val="single" w:sz="4" w:space="0" w:color="auto"/>
              <w:right w:val="single" w:sz="4" w:space="0" w:color="auto"/>
            </w:tcBorders>
            <w:shd w:val="clear" w:color="auto" w:fill="auto"/>
            <w:noWrap/>
            <w:vAlign w:val="bottom"/>
            <w:hideMark/>
          </w:tcPr>
          <w:p w14:paraId="1AF820E8"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1326</w:t>
            </w:r>
          </w:p>
        </w:tc>
        <w:tc>
          <w:tcPr>
            <w:tcW w:w="1200" w:type="dxa"/>
            <w:tcBorders>
              <w:top w:val="nil"/>
              <w:left w:val="nil"/>
              <w:bottom w:val="single" w:sz="4" w:space="0" w:color="auto"/>
              <w:right w:val="single" w:sz="4" w:space="0" w:color="auto"/>
            </w:tcBorders>
            <w:shd w:val="clear" w:color="auto" w:fill="auto"/>
            <w:noWrap/>
            <w:vAlign w:val="bottom"/>
            <w:hideMark/>
          </w:tcPr>
          <w:p w14:paraId="3C132E7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1322</w:t>
            </w:r>
          </w:p>
        </w:tc>
        <w:tc>
          <w:tcPr>
            <w:tcW w:w="1209" w:type="dxa"/>
            <w:tcBorders>
              <w:top w:val="nil"/>
              <w:left w:val="nil"/>
              <w:bottom w:val="single" w:sz="4" w:space="0" w:color="auto"/>
              <w:right w:val="single" w:sz="4" w:space="0" w:color="auto"/>
            </w:tcBorders>
            <w:shd w:val="clear" w:color="auto" w:fill="auto"/>
            <w:noWrap/>
            <w:vAlign w:val="bottom"/>
            <w:hideMark/>
          </w:tcPr>
          <w:p w14:paraId="46EA37F6"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611</w:t>
            </w:r>
          </w:p>
        </w:tc>
        <w:tc>
          <w:tcPr>
            <w:tcW w:w="1200" w:type="dxa"/>
            <w:tcBorders>
              <w:top w:val="nil"/>
              <w:left w:val="nil"/>
              <w:bottom w:val="single" w:sz="4" w:space="0" w:color="auto"/>
              <w:right w:val="single" w:sz="4" w:space="0" w:color="auto"/>
            </w:tcBorders>
            <w:shd w:val="clear" w:color="auto" w:fill="auto"/>
            <w:noWrap/>
            <w:vAlign w:val="bottom"/>
            <w:hideMark/>
          </w:tcPr>
          <w:p w14:paraId="2271C311"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609</w:t>
            </w:r>
          </w:p>
        </w:tc>
        <w:tc>
          <w:tcPr>
            <w:tcW w:w="1210" w:type="dxa"/>
            <w:tcBorders>
              <w:top w:val="nil"/>
              <w:left w:val="nil"/>
              <w:bottom w:val="single" w:sz="4" w:space="0" w:color="auto"/>
              <w:right w:val="single" w:sz="4" w:space="0" w:color="auto"/>
            </w:tcBorders>
            <w:shd w:val="clear" w:color="auto" w:fill="auto"/>
            <w:noWrap/>
            <w:vAlign w:val="bottom"/>
            <w:hideMark/>
          </w:tcPr>
          <w:p w14:paraId="01552FD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699</w:t>
            </w:r>
          </w:p>
        </w:tc>
        <w:tc>
          <w:tcPr>
            <w:tcW w:w="1200" w:type="dxa"/>
            <w:tcBorders>
              <w:top w:val="nil"/>
              <w:left w:val="nil"/>
              <w:bottom w:val="single" w:sz="4" w:space="0" w:color="auto"/>
              <w:right w:val="single" w:sz="4" w:space="0" w:color="auto"/>
            </w:tcBorders>
            <w:shd w:val="clear" w:color="auto" w:fill="auto"/>
            <w:noWrap/>
            <w:vAlign w:val="bottom"/>
            <w:hideMark/>
          </w:tcPr>
          <w:p w14:paraId="3C18AAE3"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697</w:t>
            </w:r>
          </w:p>
        </w:tc>
        <w:tc>
          <w:tcPr>
            <w:tcW w:w="1068" w:type="dxa"/>
            <w:tcBorders>
              <w:top w:val="nil"/>
              <w:left w:val="nil"/>
              <w:bottom w:val="single" w:sz="4" w:space="0" w:color="auto"/>
              <w:right w:val="single" w:sz="4" w:space="0" w:color="auto"/>
            </w:tcBorders>
            <w:shd w:val="clear" w:color="auto" w:fill="auto"/>
            <w:noWrap/>
            <w:vAlign w:val="bottom"/>
            <w:hideMark/>
          </w:tcPr>
          <w:p w14:paraId="19609C43"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850</w:t>
            </w:r>
          </w:p>
        </w:tc>
        <w:tc>
          <w:tcPr>
            <w:tcW w:w="1200" w:type="dxa"/>
            <w:tcBorders>
              <w:top w:val="nil"/>
              <w:left w:val="nil"/>
              <w:bottom w:val="single" w:sz="4" w:space="0" w:color="auto"/>
              <w:right w:val="single" w:sz="4" w:space="0" w:color="auto"/>
            </w:tcBorders>
            <w:shd w:val="clear" w:color="auto" w:fill="auto"/>
            <w:noWrap/>
            <w:vAlign w:val="bottom"/>
            <w:hideMark/>
          </w:tcPr>
          <w:p w14:paraId="2A577475"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846</w:t>
            </w:r>
          </w:p>
        </w:tc>
        <w:tc>
          <w:tcPr>
            <w:tcW w:w="1068" w:type="dxa"/>
            <w:tcBorders>
              <w:top w:val="nil"/>
              <w:left w:val="nil"/>
              <w:bottom w:val="single" w:sz="4" w:space="0" w:color="auto"/>
              <w:right w:val="single" w:sz="4" w:space="0" w:color="auto"/>
            </w:tcBorders>
            <w:shd w:val="clear" w:color="auto" w:fill="auto"/>
            <w:noWrap/>
            <w:vAlign w:val="bottom"/>
            <w:hideMark/>
          </w:tcPr>
          <w:p w14:paraId="781B763B"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481</w:t>
            </w:r>
          </w:p>
        </w:tc>
        <w:tc>
          <w:tcPr>
            <w:tcW w:w="1200" w:type="dxa"/>
            <w:tcBorders>
              <w:top w:val="nil"/>
              <w:left w:val="nil"/>
              <w:bottom w:val="single" w:sz="4" w:space="0" w:color="auto"/>
              <w:right w:val="single" w:sz="4" w:space="0" w:color="auto"/>
            </w:tcBorders>
            <w:shd w:val="clear" w:color="auto" w:fill="auto"/>
            <w:noWrap/>
            <w:vAlign w:val="bottom"/>
            <w:hideMark/>
          </w:tcPr>
          <w:p w14:paraId="5093AB72" w14:textId="77777777" w:rsidR="004C03FF" w:rsidRPr="004C03FF" w:rsidRDefault="004C03FF" w:rsidP="004C03FF">
            <w:pPr>
              <w:spacing w:after="0" w:line="240" w:lineRule="auto"/>
              <w:jc w:val="center"/>
              <w:rPr>
                <w:rFonts w:eastAsia="Times New Roman" w:cs="Times New Roman"/>
                <w:color w:val="000000"/>
                <w:sz w:val="22"/>
                <w:szCs w:val="22"/>
                <w:lang w:eastAsia="es-AR"/>
              </w:rPr>
            </w:pPr>
            <w:r w:rsidRPr="004C03FF">
              <w:rPr>
                <w:rFonts w:eastAsia="Times New Roman" w:cs="Times New Roman"/>
                <w:color w:val="000000"/>
                <w:sz w:val="22"/>
                <w:szCs w:val="22"/>
                <w:lang w:eastAsia="es-AR"/>
              </w:rPr>
              <w:t>481</w:t>
            </w:r>
          </w:p>
        </w:tc>
      </w:tr>
    </w:tbl>
    <w:p w14:paraId="0BD27C8C" w14:textId="77777777" w:rsidR="004C03FF" w:rsidRPr="00E774C4" w:rsidRDefault="004C03FF" w:rsidP="00C41769">
      <w:pPr>
        <w:rPr>
          <w:b/>
          <w:szCs w:val="24"/>
          <w:lang w:val="en-US"/>
        </w:rPr>
      </w:pPr>
    </w:p>
    <w:p w14:paraId="151AAC05" w14:textId="77777777" w:rsidR="00C41769" w:rsidRDefault="00C41769" w:rsidP="00C41769">
      <w:pPr>
        <w:spacing w:after="0"/>
        <w:rPr>
          <w:sz w:val="22"/>
          <w:lang w:val="en-US"/>
        </w:rPr>
      </w:pPr>
      <w:r w:rsidRPr="007E524A">
        <w:rPr>
          <w:sz w:val="22"/>
          <w:lang w:val="en-US"/>
        </w:rPr>
        <w:t>Source: Ow</w:t>
      </w:r>
      <w:r>
        <w:rPr>
          <w:sz w:val="22"/>
          <w:lang w:val="en-US"/>
        </w:rPr>
        <w:t xml:space="preserve">n elaboration base on </w:t>
      </w:r>
      <w:proofErr w:type="spellStart"/>
      <w:r>
        <w:rPr>
          <w:sz w:val="22"/>
          <w:lang w:val="en-US"/>
        </w:rPr>
        <w:t>Mapa</w:t>
      </w:r>
      <w:proofErr w:type="spellEnd"/>
      <w:r>
        <w:rPr>
          <w:sz w:val="22"/>
          <w:lang w:val="en-US"/>
        </w:rPr>
        <w:t xml:space="preserve"> </w:t>
      </w:r>
      <w:proofErr w:type="spellStart"/>
      <w:r>
        <w:rPr>
          <w:sz w:val="22"/>
          <w:lang w:val="en-US"/>
        </w:rPr>
        <w:t>Pyme</w:t>
      </w:r>
      <w:proofErr w:type="spellEnd"/>
      <w:r>
        <w:rPr>
          <w:sz w:val="22"/>
          <w:lang w:val="en-US"/>
        </w:rPr>
        <w:t xml:space="preserve"> and Ministry of Labor and Social Security</w:t>
      </w:r>
    </w:p>
    <w:p w14:paraId="3B45F8F5" w14:textId="77777777" w:rsidR="00EC05E1" w:rsidRDefault="00C41769" w:rsidP="00C41769">
      <w:pPr>
        <w:spacing w:after="0"/>
        <w:rPr>
          <w:sz w:val="22"/>
          <w:lang w:val="en-US"/>
        </w:rPr>
      </w:pPr>
      <w:r>
        <w:rPr>
          <w:sz w:val="22"/>
          <w:lang w:val="en-US"/>
        </w:rPr>
        <w:t>Note: 1</w:t>
      </w:r>
      <w:r w:rsidR="00EC05E1">
        <w:rPr>
          <w:sz w:val="22"/>
          <w:lang w:val="en-US"/>
        </w:rPr>
        <w:t>7</w:t>
      </w:r>
      <w:r>
        <w:rPr>
          <w:sz w:val="22"/>
          <w:lang w:val="en-US"/>
        </w:rPr>
        <w:t xml:space="preserve"> sectorial dummies include</w:t>
      </w:r>
      <w:r w:rsidR="0018012E">
        <w:rPr>
          <w:sz w:val="22"/>
          <w:lang w:val="en-US"/>
        </w:rPr>
        <w:t>d</w:t>
      </w:r>
      <w:r w:rsidR="00F268D3">
        <w:rPr>
          <w:sz w:val="22"/>
          <w:lang w:val="en-US"/>
        </w:rPr>
        <w:t>. F</w:t>
      </w:r>
      <w:r w:rsidR="0018012E">
        <w:rPr>
          <w:sz w:val="22"/>
          <w:lang w:val="en-US"/>
        </w:rPr>
        <w:t xml:space="preserve">irms </w:t>
      </w:r>
      <w:r w:rsidR="00F268D3">
        <w:rPr>
          <w:sz w:val="22"/>
          <w:lang w:val="en-US"/>
        </w:rPr>
        <w:t>weighted</w:t>
      </w:r>
      <w:r w:rsidR="0018012E">
        <w:rPr>
          <w:sz w:val="22"/>
          <w:lang w:val="en-US"/>
        </w:rPr>
        <w:t xml:space="preserve"> </w:t>
      </w:r>
      <w:r w:rsidR="00F268D3">
        <w:rPr>
          <w:sz w:val="22"/>
          <w:lang w:val="en-US"/>
        </w:rPr>
        <w:t xml:space="preserve">according to </w:t>
      </w:r>
      <w:r w:rsidR="0018012E">
        <w:rPr>
          <w:sz w:val="22"/>
          <w:lang w:val="en-US"/>
        </w:rPr>
        <w:t>the</w:t>
      </w:r>
      <w:r w:rsidR="00F268D3">
        <w:rPr>
          <w:sz w:val="22"/>
          <w:lang w:val="en-US"/>
        </w:rPr>
        <w:t>ir</w:t>
      </w:r>
      <w:r w:rsidR="0018012E">
        <w:rPr>
          <w:sz w:val="22"/>
          <w:lang w:val="en-US"/>
        </w:rPr>
        <w:t xml:space="preserve"> esti</w:t>
      </w:r>
      <w:r w:rsidR="00F268D3">
        <w:rPr>
          <w:sz w:val="22"/>
          <w:lang w:val="en-US"/>
        </w:rPr>
        <w:t xml:space="preserve">mated propensity score and corresponding to common support. </w:t>
      </w:r>
    </w:p>
    <w:p w14:paraId="066CB13D" w14:textId="77777777" w:rsidR="00F268D3" w:rsidRPr="000E3929" w:rsidRDefault="00F268D3" w:rsidP="00C41769">
      <w:pPr>
        <w:spacing w:after="0"/>
        <w:rPr>
          <w:sz w:val="22"/>
          <w:lang w:val="en-US"/>
        </w:rPr>
        <w:sectPr w:rsidR="00F268D3" w:rsidRPr="000E3929" w:rsidSect="00557280">
          <w:pgSz w:w="15840" w:h="12240" w:orient="landscape"/>
          <w:pgMar w:top="1701" w:right="1418" w:bottom="1701" w:left="1418" w:header="709" w:footer="709" w:gutter="0"/>
          <w:cols w:space="708"/>
          <w:docGrid w:linePitch="360"/>
        </w:sectPr>
      </w:pPr>
    </w:p>
    <w:p w14:paraId="12D829A9" w14:textId="77777777" w:rsidR="00C6568F" w:rsidRPr="00C6568F" w:rsidRDefault="00C6568F" w:rsidP="00C6568F">
      <w:pPr>
        <w:pStyle w:val="Ttulo2"/>
        <w:rPr>
          <w:rFonts w:ascii="Garamond" w:hAnsi="Garamond"/>
          <w:b/>
          <w:color w:val="auto"/>
          <w:lang w:val="en-US"/>
        </w:rPr>
      </w:pPr>
      <w:r>
        <w:rPr>
          <w:rFonts w:ascii="Garamond" w:hAnsi="Garamond"/>
          <w:b/>
          <w:color w:val="auto"/>
          <w:lang w:val="en-US"/>
        </w:rPr>
        <w:lastRenderedPageBreak/>
        <w:t>4</w:t>
      </w:r>
      <w:r w:rsidRPr="00C6568F">
        <w:rPr>
          <w:rFonts w:ascii="Garamond" w:hAnsi="Garamond"/>
          <w:b/>
          <w:color w:val="auto"/>
          <w:lang w:val="en-US"/>
        </w:rPr>
        <w:t xml:space="preserve">. </w:t>
      </w:r>
      <w:r>
        <w:rPr>
          <w:rFonts w:ascii="Garamond" w:hAnsi="Garamond"/>
          <w:b/>
          <w:color w:val="auto"/>
          <w:lang w:val="en-US"/>
        </w:rPr>
        <w:t>Conclusions</w:t>
      </w:r>
    </w:p>
    <w:p w14:paraId="09C2EA3A" w14:textId="77777777" w:rsidR="0075656B" w:rsidRDefault="0075656B" w:rsidP="0075656B">
      <w:pPr>
        <w:rPr>
          <w:lang w:val="en-US"/>
        </w:rPr>
      </w:pPr>
    </w:p>
    <w:p w14:paraId="15A05E88" w14:textId="77777777" w:rsidR="00F72426" w:rsidRDefault="0075656B" w:rsidP="0075656B">
      <w:pPr>
        <w:rPr>
          <w:lang w:val="en-US"/>
        </w:rPr>
      </w:pPr>
      <w:r w:rsidRPr="00177E73">
        <w:rPr>
          <w:lang w:val="en-US"/>
        </w:rPr>
        <w:t>Th</w:t>
      </w:r>
      <w:r>
        <w:rPr>
          <w:lang w:val="en-US"/>
        </w:rPr>
        <w:t xml:space="preserve">e objective of this paper was to contribute to the literature about the relationship between productivity and wages and how </w:t>
      </w:r>
      <w:r w:rsidR="003C010F">
        <w:rPr>
          <w:lang w:val="en-US"/>
        </w:rPr>
        <w:t xml:space="preserve">higher levels </w:t>
      </w:r>
      <w:r>
        <w:rPr>
          <w:lang w:val="en-US"/>
        </w:rPr>
        <w:t>in the former also lead to higher levels</w:t>
      </w:r>
      <w:r w:rsidR="003C010F">
        <w:rPr>
          <w:lang w:val="en-US"/>
        </w:rPr>
        <w:t xml:space="preserve"> in</w:t>
      </w:r>
      <w:r>
        <w:rPr>
          <w:lang w:val="en-US"/>
        </w:rPr>
        <w:t xml:space="preserve"> the later. The hypotheses were aimed to test how training activities </w:t>
      </w:r>
      <w:r w:rsidR="009539A9">
        <w:rPr>
          <w:lang w:val="en-US"/>
        </w:rPr>
        <w:t>are corresponded with higher</w:t>
      </w:r>
      <w:r>
        <w:rPr>
          <w:lang w:val="en-US"/>
        </w:rPr>
        <w:t xml:space="preserve"> productivity </w:t>
      </w:r>
      <w:r w:rsidR="009539A9">
        <w:rPr>
          <w:lang w:val="en-US"/>
        </w:rPr>
        <w:t xml:space="preserve">and wage </w:t>
      </w:r>
      <w:r>
        <w:rPr>
          <w:lang w:val="en-US"/>
        </w:rPr>
        <w:t>levels. Given the relevance of the productive structure and the labor institutions highlighted in the literature, the impact of both dimensions on the productivity-wage gap was also tested. Based on propensity score matching techniques, the empirical analysis was based on a database made of</w:t>
      </w:r>
      <w:r w:rsidR="00501762">
        <w:rPr>
          <w:lang w:val="en-US"/>
        </w:rPr>
        <w:t xml:space="preserve"> about</w:t>
      </w:r>
      <w:r>
        <w:rPr>
          <w:lang w:val="en-US"/>
        </w:rPr>
        <w:t xml:space="preserve"> </w:t>
      </w:r>
      <w:r w:rsidRPr="00177E73">
        <w:rPr>
          <w:lang w:val="en-US"/>
        </w:rPr>
        <w:t xml:space="preserve">1400 Argentinean SMEs for the </w:t>
      </w:r>
      <w:r>
        <w:rPr>
          <w:lang w:val="en-US"/>
        </w:rPr>
        <w:t>period</w:t>
      </w:r>
      <w:r w:rsidRPr="00177E73">
        <w:rPr>
          <w:lang w:val="en-US"/>
        </w:rPr>
        <w:t xml:space="preserve"> 2006-2008.</w:t>
      </w:r>
      <w:r w:rsidR="00F72426">
        <w:rPr>
          <w:lang w:val="en-US"/>
        </w:rPr>
        <w:t xml:space="preserve"> </w:t>
      </w:r>
      <w:r>
        <w:rPr>
          <w:lang w:val="en-US"/>
        </w:rPr>
        <w:t xml:space="preserve">Results </w:t>
      </w:r>
      <w:r w:rsidR="00F72426">
        <w:rPr>
          <w:lang w:val="en-US"/>
        </w:rPr>
        <w:t xml:space="preserve">confirm what predicted by innovation </w:t>
      </w:r>
      <w:r w:rsidR="00501762">
        <w:rPr>
          <w:lang w:val="en-US"/>
        </w:rPr>
        <w:t xml:space="preserve">literature </w:t>
      </w:r>
      <w:r w:rsidR="00F72426">
        <w:rPr>
          <w:lang w:val="en-US"/>
        </w:rPr>
        <w:t xml:space="preserve">in the sense that </w:t>
      </w:r>
      <w:r>
        <w:rPr>
          <w:lang w:val="en-US"/>
        </w:rPr>
        <w:t xml:space="preserve">training activities lead </w:t>
      </w:r>
      <w:r w:rsidR="00F72426">
        <w:rPr>
          <w:lang w:val="en-US"/>
        </w:rPr>
        <w:t xml:space="preserve">simultaneously </w:t>
      </w:r>
      <w:r>
        <w:rPr>
          <w:lang w:val="en-US"/>
        </w:rPr>
        <w:t xml:space="preserve">to </w:t>
      </w:r>
      <w:r w:rsidR="00F72426">
        <w:rPr>
          <w:lang w:val="en-US"/>
        </w:rPr>
        <w:t xml:space="preserve">higher </w:t>
      </w:r>
      <w:r>
        <w:rPr>
          <w:lang w:val="en-US"/>
        </w:rPr>
        <w:t xml:space="preserve">productivity </w:t>
      </w:r>
      <w:r w:rsidR="00F72426">
        <w:rPr>
          <w:lang w:val="en-US"/>
        </w:rPr>
        <w:t xml:space="preserve">(private) and </w:t>
      </w:r>
      <w:r>
        <w:rPr>
          <w:lang w:val="en-US"/>
        </w:rPr>
        <w:t>wage</w:t>
      </w:r>
      <w:r w:rsidR="00F72426">
        <w:rPr>
          <w:lang w:val="en-US"/>
        </w:rPr>
        <w:t xml:space="preserve"> (social) levels. However, they also show that the impact is unequally distributed between the firm and its employees, being the impact on productivity almost twice the impact on salaries. In this sense, this study has provided evidence regarding the productivity-wage gap and the limitations of wages to approximate productivity. Of course, they have also call the attention on the need for a better understanding of this relationship and how productivity gains are translated into higher incomes. </w:t>
      </w:r>
      <w:r w:rsidR="00C2354C">
        <w:rPr>
          <w:lang w:val="en-US"/>
        </w:rPr>
        <w:t xml:space="preserve">In this sense, results coincide with the literature to the extent that even though </w:t>
      </w:r>
      <w:r w:rsidR="00C2354C" w:rsidRPr="009539A9">
        <w:rPr>
          <w:lang w:val="en-US"/>
        </w:rPr>
        <w:t>training activities lead to higher productivity levels and higher salaries, they do it unevenly (</w:t>
      </w:r>
      <w:r w:rsidR="009539A9" w:rsidRPr="008B1E10">
        <w:rPr>
          <w:lang w:val="en-US"/>
        </w:rPr>
        <w:t xml:space="preserve">e.g. </w:t>
      </w:r>
      <w:proofErr w:type="spellStart"/>
      <w:r w:rsidR="009539A9" w:rsidRPr="009539A9">
        <w:rPr>
          <w:lang w:val="en-US"/>
        </w:rPr>
        <w:t>Dearden</w:t>
      </w:r>
      <w:proofErr w:type="spellEnd"/>
      <w:r w:rsidR="009539A9" w:rsidRPr="009539A9">
        <w:rPr>
          <w:lang w:val="en-US"/>
        </w:rPr>
        <w:t xml:space="preserve"> et al, 2006 and Conti, 2005</w:t>
      </w:r>
      <w:r w:rsidR="00C2354C" w:rsidRPr="008B1E10">
        <w:rPr>
          <w:lang w:val="en-US"/>
        </w:rPr>
        <w:t>).</w:t>
      </w:r>
    </w:p>
    <w:p w14:paraId="4457485F" w14:textId="77777777" w:rsidR="00C2354C" w:rsidRPr="00932FFD" w:rsidRDefault="00F72426" w:rsidP="0075656B">
      <w:pPr>
        <w:rPr>
          <w:lang w:val="en-US"/>
        </w:rPr>
      </w:pPr>
      <w:r>
        <w:rPr>
          <w:lang w:val="en-US"/>
        </w:rPr>
        <w:t xml:space="preserve">The second motivation of this paper was to understand how sectorial structure and labor institutions reduce or increase the gap. In this respect, results show that </w:t>
      </w:r>
      <w:r w:rsidR="0075656B">
        <w:rPr>
          <w:lang w:val="en-US"/>
        </w:rPr>
        <w:t>th</w:t>
      </w:r>
      <w:r>
        <w:rPr>
          <w:lang w:val="en-US"/>
        </w:rPr>
        <w:t>e</w:t>
      </w:r>
      <w:r w:rsidR="0075656B">
        <w:rPr>
          <w:lang w:val="en-US"/>
        </w:rPr>
        <w:t xml:space="preserve"> gap tends to decrease among medium- and high-tech sectors, which provides evidence regarding the impact of th</w:t>
      </w:r>
      <w:r>
        <w:rPr>
          <w:lang w:val="en-US"/>
        </w:rPr>
        <w:t>e process of structural change and how micro-economic behaviors can impact the macro-economic aggregates</w:t>
      </w:r>
      <w:r w:rsidR="0075656B">
        <w:rPr>
          <w:lang w:val="en-US"/>
        </w:rPr>
        <w:t xml:space="preserve">. </w:t>
      </w:r>
      <w:r w:rsidR="00C2354C">
        <w:rPr>
          <w:lang w:val="en-US"/>
        </w:rPr>
        <w:t>In this case, results also agree with the literature about the productivity-</w:t>
      </w:r>
      <w:r w:rsidR="00C2354C" w:rsidRPr="00932FFD">
        <w:rPr>
          <w:lang w:val="en-US"/>
        </w:rPr>
        <w:t>wage gap in the sense that it depends on certain environmental factors (</w:t>
      </w:r>
      <w:proofErr w:type="spellStart"/>
      <w:r w:rsidR="009539A9" w:rsidRPr="008B1E10">
        <w:rPr>
          <w:lang w:val="en-US"/>
        </w:rPr>
        <w:t>Carneiro</w:t>
      </w:r>
      <w:proofErr w:type="spellEnd"/>
      <w:r w:rsidR="009539A9" w:rsidRPr="008B1E10">
        <w:rPr>
          <w:lang w:val="en-US"/>
        </w:rPr>
        <w:t>, 1998</w:t>
      </w:r>
      <w:r w:rsidR="00932FFD">
        <w:rPr>
          <w:lang w:val="en-US"/>
        </w:rPr>
        <w:t xml:space="preserve"> and </w:t>
      </w:r>
      <w:r w:rsidR="00932FFD" w:rsidRPr="00932FFD">
        <w:rPr>
          <w:lang w:val="en-US"/>
        </w:rPr>
        <w:t xml:space="preserve">Zhang </w:t>
      </w:r>
      <w:r w:rsidR="00932FFD">
        <w:rPr>
          <w:lang w:val="en-US"/>
        </w:rPr>
        <w:t>and</w:t>
      </w:r>
      <w:r w:rsidR="00932FFD" w:rsidRPr="00932FFD">
        <w:rPr>
          <w:lang w:val="en-US"/>
        </w:rPr>
        <w:t xml:space="preserve"> Liu</w:t>
      </w:r>
      <w:r w:rsidR="00932FFD">
        <w:rPr>
          <w:lang w:val="en-US"/>
        </w:rPr>
        <w:t xml:space="preserve">, </w:t>
      </w:r>
      <w:r w:rsidR="00932FFD" w:rsidRPr="00932FFD">
        <w:rPr>
          <w:lang w:val="en-US"/>
        </w:rPr>
        <w:t>2013</w:t>
      </w:r>
      <w:r w:rsidR="00C2354C" w:rsidRPr="008B1E10">
        <w:rPr>
          <w:lang w:val="en-US"/>
        </w:rPr>
        <w:t>), but also agree with the literature about structural change and how it is a way of improving development (</w:t>
      </w:r>
      <w:r w:rsidR="009539A9" w:rsidRPr="008B1E10">
        <w:rPr>
          <w:lang w:val="en-US"/>
        </w:rPr>
        <w:t>CEPAL, 2012</w:t>
      </w:r>
      <w:r w:rsidR="00C2354C" w:rsidRPr="008B1E10">
        <w:rPr>
          <w:lang w:val="en-US"/>
        </w:rPr>
        <w:t>).</w:t>
      </w:r>
    </w:p>
    <w:p w14:paraId="63802A7E" w14:textId="77777777" w:rsidR="0075656B" w:rsidRDefault="00F72426" w:rsidP="0075656B">
      <w:pPr>
        <w:rPr>
          <w:lang w:val="en-US"/>
        </w:rPr>
      </w:pPr>
      <w:r w:rsidRPr="00932FFD">
        <w:rPr>
          <w:lang w:val="en-US"/>
        </w:rPr>
        <w:t xml:space="preserve">Regarding labor institutions, </w:t>
      </w:r>
      <w:r w:rsidR="0075656B" w:rsidRPr="00932FFD">
        <w:rPr>
          <w:lang w:val="en-US"/>
        </w:rPr>
        <w:t>evidence is not conclusive</w:t>
      </w:r>
      <w:r w:rsidRPr="00932FFD">
        <w:rPr>
          <w:lang w:val="en-US"/>
        </w:rPr>
        <w:t>. At first sight, results show none relationship between the bargaining power of unions and the reduction in the gap. However,</w:t>
      </w:r>
      <w:r>
        <w:rPr>
          <w:lang w:val="en-US"/>
        </w:rPr>
        <w:t xml:space="preserve"> this contradicts most of the literature about productivity, wages and institutions and leads us to discuss the limitations of this research and the need to go deeper on the analysis of productivity and wages. </w:t>
      </w:r>
    </w:p>
    <w:p w14:paraId="46EB16A3" w14:textId="77777777" w:rsidR="00C2354C" w:rsidRDefault="00F72426" w:rsidP="0075656B">
      <w:pPr>
        <w:rPr>
          <w:lang w:val="en-US"/>
        </w:rPr>
      </w:pPr>
      <w:r>
        <w:rPr>
          <w:lang w:val="en-US"/>
        </w:rPr>
        <w:t xml:space="preserve">The main limitation of this analysis derives from the data availability, which in turn determines the period under analysis. </w:t>
      </w:r>
      <w:r w:rsidR="00C2354C">
        <w:rPr>
          <w:lang w:val="en-US"/>
        </w:rPr>
        <w:t xml:space="preserve">In this respect, it constitutes a period of income recovery given the crisis of 2002 and the frozen of salaries during 2003-2005. In fact, collective bargains started in this later year, once the economy was recovered from the 22% unemployment rate and the 40% level of poverty. </w:t>
      </w:r>
      <w:r w:rsidR="0071015C">
        <w:rPr>
          <w:lang w:val="en-US"/>
        </w:rPr>
        <w:t>This also would explain the lack of impact of the labor unions to the extent that during that period there were high productivity gains associated more to the recovery than to genuine increases in the input-output relationship. Of course, the extension of the period under analysis could improve the research and allow more clear relationships to be analyzed.</w:t>
      </w:r>
    </w:p>
    <w:p w14:paraId="43D05683" w14:textId="77777777" w:rsidR="00C2354C" w:rsidRDefault="00C2354C" w:rsidP="0075656B">
      <w:pPr>
        <w:rPr>
          <w:lang w:val="en-US"/>
        </w:rPr>
      </w:pPr>
      <w:r>
        <w:rPr>
          <w:lang w:val="en-US"/>
        </w:rPr>
        <w:lastRenderedPageBreak/>
        <w:t xml:space="preserve">Another limitation is given by the need to analyze and measure counterfactual relationships. </w:t>
      </w:r>
      <w:r w:rsidR="0071015C">
        <w:rPr>
          <w:lang w:val="en-US"/>
        </w:rPr>
        <w:t>Although, once again, data availability limits the possible techniques to be used, the fact that counterfactuals are analyzed reduces the number of methodological choices. However, and as it was explained in section 2, the selected methodology and the defined model are commonly used in the literature and proved to be solid for this type of analyses. In this case, the improvement in the econometric techniques and the development of new software tools will allow better estimations to be performed.</w:t>
      </w:r>
    </w:p>
    <w:p w14:paraId="2A93BDA0" w14:textId="77777777" w:rsidR="00F72426" w:rsidRDefault="00644D03" w:rsidP="0075656B">
      <w:pPr>
        <w:rPr>
          <w:lang w:val="en-US"/>
        </w:rPr>
      </w:pPr>
      <w:r>
        <w:rPr>
          <w:lang w:val="en-US"/>
        </w:rPr>
        <w:t xml:space="preserve">To conclude, and despite the above mentioned limitations, this research has focused on a common assumption of innovation studies and shows to what extent improvements in capabilities </w:t>
      </w:r>
      <w:r w:rsidR="00932FFD">
        <w:rPr>
          <w:lang w:val="en-US"/>
        </w:rPr>
        <w:t xml:space="preserve">could </w:t>
      </w:r>
      <w:r>
        <w:rPr>
          <w:lang w:val="en-US"/>
        </w:rPr>
        <w:t xml:space="preserve">simultaneously impact on productivity and wages. A deeper understanding of the productivity-wage gap could help to identify policy recommendations regarding how to maximize the impact of micro-behaviors on incomes and the innovation policy on wages. In this sense, </w:t>
      </w:r>
      <w:r w:rsidR="00C2354C">
        <w:rPr>
          <w:lang w:val="en-US"/>
        </w:rPr>
        <w:t xml:space="preserve">it is worth mentioning that this research is part of a larger project aimed at constructing a database capable of accounting for this phenomenon, which is carried out by the Ministry of Labor with the collaboration of researchers from the Universidad National de General Sarmiento and the support of the Inter-American Development Bank. In this sense, this paper provides useful insights to data requirements, basic relationships and analysis levels. </w:t>
      </w:r>
    </w:p>
    <w:p w14:paraId="00DE7B65" w14:textId="77777777" w:rsidR="0035797B" w:rsidRPr="007770FE" w:rsidRDefault="0035797B" w:rsidP="00C41769">
      <w:pPr>
        <w:rPr>
          <w:b/>
          <w:szCs w:val="24"/>
          <w:lang w:val="en-US"/>
        </w:rPr>
      </w:pPr>
    </w:p>
    <w:p w14:paraId="7230841E" w14:textId="77777777" w:rsidR="000E4FA0" w:rsidRPr="006F2141" w:rsidRDefault="000E4FA0">
      <w:pPr>
        <w:spacing w:after="200"/>
        <w:jc w:val="left"/>
        <w:rPr>
          <w:b/>
          <w:sz w:val="28"/>
          <w:szCs w:val="24"/>
          <w:lang w:val="en-US"/>
        </w:rPr>
      </w:pPr>
      <w:r w:rsidRPr="006F2141">
        <w:rPr>
          <w:b/>
          <w:sz w:val="28"/>
          <w:szCs w:val="24"/>
          <w:lang w:val="en-US"/>
        </w:rPr>
        <w:br w:type="page"/>
      </w:r>
    </w:p>
    <w:p w14:paraId="4A49561B" w14:textId="77777777" w:rsidR="00C41769" w:rsidRPr="0035797B" w:rsidRDefault="00644D03" w:rsidP="00C41769">
      <w:pPr>
        <w:rPr>
          <w:b/>
          <w:sz w:val="28"/>
          <w:szCs w:val="24"/>
        </w:rPr>
      </w:pPr>
      <w:proofErr w:type="spellStart"/>
      <w:r w:rsidRPr="0035797B">
        <w:rPr>
          <w:b/>
          <w:sz w:val="28"/>
          <w:szCs w:val="24"/>
        </w:rPr>
        <w:lastRenderedPageBreak/>
        <w:t>References</w:t>
      </w:r>
      <w:proofErr w:type="spellEnd"/>
    </w:p>
    <w:p w14:paraId="7A791BB4" w14:textId="77777777" w:rsidR="0035797B" w:rsidRPr="0035797B" w:rsidRDefault="0035797B" w:rsidP="0035797B">
      <w:pPr>
        <w:ind w:left="284" w:hanging="284"/>
        <w:rPr>
          <w:szCs w:val="24"/>
        </w:rPr>
      </w:pPr>
      <w:proofErr w:type="spellStart"/>
      <w:r w:rsidRPr="0035797B">
        <w:rPr>
          <w:szCs w:val="24"/>
        </w:rPr>
        <w:t>Azpiazu</w:t>
      </w:r>
      <w:proofErr w:type="spellEnd"/>
      <w:r w:rsidRPr="0035797B">
        <w:rPr>
          <w:szCs w:val="24"/>
        </w:rPr>
        <w:t xml:space="preserve"> y </w:t>
      </w:r>
      <w:proofErr w:type="spellStart"/>
      <w:r w:rsidRPr="0035797B">
        <w:rPr>
          <w:szCs w:val="24"/>
        </w:rPr>
        <w:t>Shorr</w:t>
      </w:r>
      <w:proofErr w:type="spellEnd"/>
      <w:r w:rsidRPr="0035797B">
        <w:rPr>
          <w:szCs w:val="24"/>
        </w:rPr>
        <w:t xml:space="preserve">, 2010 “La industria argentina en la </w:t>
      </w:r>
      <w:proofErr w:type="spellStart"/>
      <w:r w:rsidRPr="0035797B">
        <w:rPr>
          <w:szCs w:val="24"/>
        </w:rPr>
        <w:t>posconvertibilidad</w:t>
      </w:r>
      <w:proofErr w:type="spellEnd"/>
      <w:r w:rsidRPr="0035797B">
        <w:rPr>
          <w:szCs w:val="24"/>
        </w:rPr>
        <w:t>: reactivación y legados del neoliberalismo”. Problemas del Desarrollo. Revista Latinoamericana de Economía. Vol. 41, núm. 161, abril-junio.</w:t>
      </w:r>
    </w:p>
    <w:p w14:paraId="1328B6B0" w14:textId="77777777" w:rsidR="0035797B" w:rsidRPr="0035797B" w:rsidRDefault="0035797B" w:rsidP="0035797B">
      <w:pPr>
        <w:ind w:left="284" w:hanging="284"/>
        <w:rPr>
          <w:szCs w:val="24"/>
        </w:rPr>
      </w:pPr>
      <w:proofErr w:type="spellStart"/>
      <w:r w:rsidRPr="0035797B">
        <w:rPr>
          <w:szCs w:val="24"/>
          <w:lang w:val="en-US"/>
        </w:rPr>
        <w:t>Bartelsman</w:t>
      </w:r>
      <w:proofErr w:type="spellEnd"/>
      <w:r w:rsidRPr="0035797B">
        <w:rPr>
          <w:szCs w:val="24"/>
          <w:lang w:val="en-US"/>
        </w:rPr>
        <w:t xml:space="preserve">, E., </w:t>
      </w:r>
      <w:proofErr w:type="spellStart"/>
      <w:r w:rsidRPr="0035797B">
        <w:rPr>
          <w:szCs w:val="24"/>
          <w:lang w:val="en-US"/>
        </w:rPr>
        <w:t>Doms</w:t>
      </w:r>
      <w:proofErr w:type="spellEnd"/>
      <w:r w:rsidRPr="0035797B">
        <w:rPr>
          <w:szCs w:val="24"/>
          <w:lang w:val="en-US"/>
        </w:rPr>
        <w:t xml:space="preserve">, M., 2000. Understanding productivity: Lessons from longitudinal </w:t>
      </w:r>
      <w:proofErr w:type="spellStart"/>
      <w:r w:rsidRPr="0035797B">
        <w:rPr>
          <w:szCs w:val="24"/>
          <w:lang w:val="en-US"/>
        </w:rPr>
        <w:t>microdata</w:t>
      </w:r>
      <w:proofErr w:type="spellEnd"/>
      <w:r w:rsidRPr="0035797B">
        <w:rPr>
          <w:szCs w:val="24"/>
          <w:lang w:val="en-US"/>
        </w:rPr>
        <w:t xml:space="preserve">. </w:t>
      </w:r>
      <w:proofErr w:type="spellStart"/>
      <w:r w:rsidRPr="0035797B">
        <w:rPr>
          <w:szCs w:val="24"/>
        </w:rPr>
        <w:t>Journal</w:t>
      </w:r>
      <w:proofErr w:type="spellEnd"/>
      <w:r w:rsidRPr="0035797B">
        <w:rPr>
          <w:szCs w:val="24"/>
        </w:rPr>
        <w:t xml:space="preserve"> of </w:t>
      </w:r>
      <w:proofErr w:type="spellStart"/>
      <w:r w:rsidRPr="0035797B">
        <w:rPr>
          <w:szCs w:val="24"/>
        </w:rPr>
        <w:t>Economic</w:t>
      </w:r>
      <w:proofErr w:type="spellEnd"/>
      <w:r w:rsidRPr="0035797B">
        <w:rPr>
          <w:szCs w:val="24"/>
        </w:rPr>
        <w:t xml:space="preserve"> </w:t>
      </w:r>
      <w:proofErr w:type="spellStart"/>
      <w:r w:rsidRPr="0035797B">
        <w:rPr>
          <w:szCs w:val="24"/>
        </w:rPr>
        <w:t>Literature</w:t>
      </w:r>
      <w:proofErr w:type="spellEnd"/>
      <w:r w:rsidRPr="0035797B">
        <w:rPr>
          <w:szCs w:val="24"/>
        </w:rPr>
        <w:t xml:space="preserve"> 38, 569–594. </w:t>
      </w:r>
    </w:p>
    <w:p w14:paraId="1BF53FCD" w14:textId="77777777" w:rsidR="0035797B" w:rsidRPr="0035797B" w:rsidRDefault="0035797B" w:rsidP="0035797B">
      <w:pPr>
        <w:ind w:left="284" w:hanging="284"/>
        <w:rPr>
          <w:szCs w:val="24"/>
        </w:rPr>
      </w:pPr>
      <w:proofErr w:type="spellStart"/>
      <w:r w:rsidRPr="0035797B">
        <w:rPr>
          <w:szCs w:val="24"/>
        </w:rPr>
        <w:t>Basualdo</w:t>
      </w:r>
      <w:proofErr w:type="spellEnd"/>
      <w:r w:rsidRPr="0035797B">
        <w:rPr>
          <w:szCs w:val="24"/>
        </w:rPr>
        <w:t xml:space="preserve">, E., Arceo, N., </w:t>
      </w:r>
      <w:proofErr w:type="spellStart"/>
      <w:r w:rsidRPr="0035797B">
        <w:rPr>
          <w:szCs w:val="24"/>
        </w:rPr>
        <w:t>Gonzalez</w:t>
      </w:r>
      <w:proofErr w:type="spellEnd"/>
      <w:r w:rsidRPr="0035797B">
        <w:rPr>
          <w:szCs w:val="24"/>
        </w:rPr>
        <w:t>, M., Mendizábal, N. (2010) “La recuperación industrial durante la post-convertibilidad”. Documento de trabajo Nro. 6. Centro de Investigación y Formación de la República Argentina – CIFRA.</w:t>
      </w:r>
    </w:p>
    <w:p w14:paraId="2A9D685A" w14:textId="77777777" w:rsidR="0035797B" w:rsidRPr="0035797B" w:rsidRDefault="0032040A" w:rsidP="0035797B">
      <w:pPr>
        <w:ind w:left="284" w:hanging="284"/>
        <w:rPr>
          <w:szCs w:val="24"/>
        </w:rPr>
      </w:pPr>
      <w:proofErr w:type="spellStart"/>
      <w:r w:rsidRPr="007770FE">
        <w:rPr>
          <w:szCs w:val="24"/>
        </w:rPr>
        <w:t>Beccaria</w:t>
      </w:r>
      <w:proofErr w:type="spellEnd"/>
      <w:r w:rsidRPr="007770FE">
        <w:rPr>
          <w:szCs w:val="24"/>
        </w:rPr>
        <w:t xml:space="preserve">, L., </w:t>
      </w:r>
      <w:proofErr w:type="spellStart"/>
      <w:r w:rsidRPr="007770FE">
        <w:rPr>
          <w:szCs w:val="24"/>
        </w:rPr>
        <w:t>Ezquivel</w:t>
      </w:r>
      <w:proofErr w:type="spellEnd"/>
      <w:r w:rsidRPr="007770FE">
        <w:rPr>
          <w:szCs w:val="24"/>
        </w:rPr>
        <w:t xml:space="preserve">, V., and </w:t>
      </w:r>
      <w:proofErr w:type="spellStart"/>
      <w:r w:rsidRPr="007770FE">
        <w:rPr>
          <w:szCs w:val="24"/>
        </w:rPr>
        <w:t>Maurizio</w:t>
      </w:r>
      <w:proofErr w:type="spellEnd"/>
      <w:r w:rsidRPr="007770FE">
        <w:rPr>
          <w:szCs w:val="24"/>
        </w:rPr>
        <w:t xml:space="preserve">, R. </w:t>
      </w:r>
      <w:r w:rsidR="0035797B" w:rsidRPr="0035797B">
        <w:rPr>
          <w:szCs w:val="24"/>
        </w:rPr>
        <w:t>2005. "Empleo, salarios y equidad durante la recuperación reciente en la Argentina." Desarrollo Económico (2005): 235-262.</w:t>
      </w:r>
    </w:p>
    <w:p w14:paraId="73B9061B" w14:textId="77777777" w:rsidR="0035797B" w:rsidRPr="0035797B" w:rsidRDefault="0035797B" w:rsidP="0035797B">
      <w:pPr>
        <w:ind w:left="284" w:hanging="284"/>
        <w:rPr>
          <w:szCs w:val="24"/>
        </w:rPr>
      </w:pPr>
      <w:proofErr w:type="spellStart"/>
      <w:r w:rsidRPr="0035797B">
        <w:rPr>
          <w:szCs w:val="24"/>
        </w:rPr>
        <w:t>Beccaria</w:t>
      </w:r>
      <w:proofErr w:type="spellEnd"/>
      <w:r w:rsidRPr="0035797B">
        <w:rPr>
          <w:szCs w:val="24"/>
        </w:rPr>
        <w:t xml:space="preserve">, L., and </w:t>
      </w:r>
      <w:proofErr w:type="spellStart"/>
      <w:r w:rsidRPr="0035797B">
        <w:rPr>
          <w:szCs w:val="24"/>
        </w:rPr>
        <w:t>Maurizio</w:t>
      </w:r>
      <w:proofErr w:type="spellEnd"/>
      <w:r w:rsidRPr="0035797B">
        <w:rPr>
          <w:szCs w:val="24"/>
        </w:rPr>
        <w:t>, R.</w:t>
      </w:r>
      <w:r>
        <w:rPr>
          <w:szCs w:val="24"/>
        </w:rPr>
        <w:t xml:space="preserve"> 2014</w:t>
      </w:r>
      <w:r w:rsidRPr="0035797B">
        <w:rPr>
          <w:szCs w:val="24"/>
        </w:rPr>
        <w:t xml:space="preserve"> "</w:t>
      </w:r>
      <w:r>
        <w:rPr>
          <w:szCs w:val="24"/>
        </w:rPr>
        <w:t>H</w:t>
      </w:r>
      <w:r w:rsidRPr="0035797B">
        <w:rPr>
          <w:szCs w:val="24"/>
        </w:rPr>
        <w:t xml:space="preserve">acia la protección social universal en américa latina. </w:t>
      </w:r>
      <w:proofErr w:type="gramStart"/>
      <w:r w:rsidRPr="0035797B">
        <w:rPr>
          <w:szCs w:val="24"/>
        </w:rPr>
        <w:t>una</w:t>
      </w:r>
      <w:proofErr w:type="gramEnd"/>
      <w:r w:rsidRPr="0035797B">
        <w:rPr>
          <w:szCs w:val="24"/>
        </w:rPr>
        <w:t xml:space="preserve"> contribución al debate actual." Problemas del Desarrollo. Revista Latinoamericana de Economía 45.177 (2014).</w:t>
      </w:r>
    </w:p>
    <w:p w14:paraId="1C2C299B" w14:textId="77777777" w:rsidR="0035797B" w:rsidRDefault="0032040A" w:rsidP="0035797B">
      <w:pPr>
        <w:ind w:left="284" w:hanging="284"/>
        <w:rPr>
          <w:szCs w:val="24"/>
          <w:lang w:val="en-US"/>
        </w:rPr>
      </w:pPr>
      <w:proofErr w:type="spellStart"/>
      <w:r w:rsidRPr="007770FE">
        <w:rPr>
          <w:szCs w:val="24"/>
        </w:rPr>
        <w:t>Bottazzi</w:t>
      </w:r>
      <w:proofErr w:type="spellEnd"/>
      <w:r w:rsidRPr="007770FE">
        <w:rPr>
          <w:szCs w:val="24"/>
        </w:rPr>
        <w:t xml:space="preserve">, G., </w:t>
      </w:r>
      <w:proofErr w:type="spellStart"/>
      <w:r w:rsidRPr="007770FE">
        <w:rPr>
          <w:szCs w:val="24"/>
        </w:rPr>
        <w:t>Dosi</w:t>
      </w:r>
      <w:proofErr w:type="spellEnd"/>
      <w:r w:rsidRPr="007770FE">
        <w:rPr>
          <w:szCs w:val="24"/>
        </w:rPr>
        <w:t xml:space="preserve">, G., </w:t>
      </w:r>
      <w:proofErr w:type="spellStart"/>
      <w:r w:rsidRPr="007770FE">
        <w:rPr>
          <w:szCs w:val="24"/>
        </w:rPr>
        <w:t>Jacoby</w:t>
      </w:r>
      <w:proofErr w:type="spellEnd"/>
      <w:r w:rsidRPr="007770FE">
        <w:rPr>
          <w:szCs w:val="24"/>
        </w:rPr>
        <w:t xml:space="preserve">, N., </w:t>
      </w:r>
      <w:proofErr w:type="spellStart"/>
      <w:r w:rsidRPr="007770FE">
        <w:rPr>
          <w:szCs w:val="24"/>
        </w:rPr>
        <w:t>Secchi</w:t>
      </w:r>
      <w:proofErr w:type="spellEnd"/>
      <w:r w:rsidRPr="007770FE">
        <w:rPr>
          <w:szCs w:val="24"/>
        </w:rPr>
        <w:t xml:space="preserve">, A., </w:t>
      </w:r>
      <w:proofErr w:type="spellStart"/>
      <w:r w:rsidRPr="007770FE">
        <w:rPr>
          <w:szCs w:val="24"/>
        </w:rPr>
        <w:t>Tamagni</w:t>
      </w:r>
      <w:proofErr w:type="spellEnd"/>
      <w:r w:rsidRPr="007770FE">
        <w:rPr>
          <w:szCs w:val="24"/>
        </w:rPr>
        <w:t xml:space="preserve">, F., 2010. </w:t>
      </w:r>
      <w:r w:rsidR="00E576A8" w:rsidRPr="00DE5B00">
        <w:rPr>
          <w:szCs w:val="24"/>
          <w:lang w:val="en-US"/>
        </w:rPr>
        <w:t xml:space="preserve">Corporate performances and market selection: some comparative evidence. </w:t>
      </w:r>
      <w:r w:rsidRPr="007770FE">
        <w:rPr>
          <w:szCs w:val="24"/>
          <w:lang w:val="en-US"/>
        </w:rPr>
        <w:t>Industrial and Corporate Change 19 (6): 1953.</w:t>
      </w:r>
    </w:p>
    <w:p w14:paraId="6544D315" w14:textId="77777777" w:rsidR="00932FFD" w:rsidRPr="008B1E10" w:rsidRDefault="00932FFD" w:rsidP="0035797B">
      <w:pPr>
        <w:ind w:left="284" w:hanging="284"/>
        <w:rPr>
          <w:szCs w:val="24"/>
        </w:rPr>
      </w:pPr>
      <w:proofErr w:type="spellStart"/>
      <w:r w:rsidRPr="00932FFD">
        <w:rPr>
          <w:szCs w:val="24"/>
          <w:lang w:val="en-US"/>
        </w:rPr>
        <w:t>Carneiro</w:t>
      </w:r>
      <w:proofErr w:type="spellEnd"/>
      <w:r w:rsidRPr="00932FFD">
        <w:rPr>
          <w:szCs w:val="24"/>
          <w:lang w:val="en-US"/>
        </w:rPr>
        <w:t xml:space="preserve">, F., 1998. Productivity Effects in Brazilian Wage Determination. </w:t>
      </w:r>
      <w:proofErr w:type="spellStart"/>
      <w:r w:rsidRPr="008B1E10">
        <w:rPr>
          <w:szCs w:val="24"/>
        </w:rPr>
        <w:t>World</w:t>
      </w:r>
      <w:proofErr w:type="spellEnd"/>
      <w:r w:rsidRPr="008B1E10">
        <w:rPr>
          <w:szCs w:val="24"/>
        </w:rPr>
        <w:t xml:space="preserve"> </w:t>
      </w:r>
      <w:proofErr w:type="spellStart"/>
      <w:r w:rsidRPr="008B1E10">
        <w:rPr>
          <w:szCs w:val="24"/>
        </w:rPr>
        <w:t>Development</w:t>
      </w:r>
      <w:proofErr w:type="spellEnd"/>
      <w:r w:rsidRPr="008B1E10">
        <w:rPr>
          <w:szCs w:val="24"/>
        </w:rPr>
        <w:t xml:space="preserve"> 26, 139-153.</w:t>
      </w:r>
    </w:p>
    <w:p w14:paraId="1C62BA2D" w14:textId="77777777" w:rsidR="0035797B" w:rsidRPr="0035797B" w:rsidRDefault="0035797B" w:rsidP="0035797B">
      <w:pPr>
        <w:ind w:left="284" w:hanging="284"/>
        <w:rPr>
          <w:szCs w:val="24"/>
        </w:rPr>
      </w:pPr>
      <w:r w:rsidRPr="0035797B">
        <w:rPr>
          <w:szCs w:val="24"/>
        </w:rPr>
        <w:t xml:space="preserve">CENDA (2010). “Las transformaciones en el patrón de crecimiento y en el mercado de trabajo”. Capítulo 4. En: La Anatomía del Nuevo Patrón de Crecimiento y la Encrucijada Actual. La economía argentina en el período 2002-2010. Ed. Cara o Ceca, Buenos Aires.  </w:t>
      </w:r>
    </w:p>
    <w:p w14:paraId="128D1942" w14:textId="77777777" w:rsidR="0035797B" w:rsidRPr="0035797B" w:rsidRDefault="0035797B" w:rsidP="0035797B">
      <w:pPr>
        <w:ind w:left="284" w:hanging="284"/>
        <w:rPr>
          <w:szCs w:val="24"/>
        </w:rPr>
      </w:pPr>
      <w:r w:rsidRPr="0035797B">
        <w:rPr>
          <w:szCs w:val="24"/>
        </w:rPr>
        <w:t>C</w:t>
      </w:r>
      <w:r>
        <w:rPr>
          <w:szCs w:val="24"/>
        </w:rPr>
        <w:t>EPAL</w:t>
      </w:r>
      <w:r w:rsidRPr="0035797B">
        <w:rPr>
          <w:szCs w:val="24"/>
        </w:rPr>
        <w:t xml:space="preserve"> (2012)  “Cambio estructural para la igualdad: una visión integrada de desarrollo”, Santiago de Chile. </w:t>
      </w:r>
    </w:p>
    <w:p w14:paraId="4A0EA256" w14:textId="77777777" w:rsidR="0035797B" w:rsidRPr="0035797B" w:rsidRDefault="0035797B" w:rsidP="0035797B">
      <w:pPr>
        <w:ind w:left="284" w:hanging="284"/>
        <w:rPr>
          <w:szCs w:val="24"/>
        </w:rPr>
      </w:pPr>
      <w:proofErr w:type="spellStart"/>
      <w:r w:rsidRPr="0035797B">
        <w:rPr>
          <w:szCs w:val="24"/>
        </w:rPr>
        <w:t>Coatz</w:t>
      </w:r>
      <w:proofErr w:type="spellEnd"/>
      <w:r w:rsidRPr="0035797B">
        <w:rPr>
          <w:szCs w:val="24"/>
        </w:rPr>
        <w:t xml:space="preserve">, D., García Díaz, F. y </w:t>
      </w:r>
      <w:proofErr w:type="spellStart"/>
      <w:r w:rsidRPr="0035797B">
        <w:rPr>
          <w:szCs w:val="24"/>
        </w:rPr>
        <w:t>Woyecheszen</w:t>
      </w:r>
      <w:proofErr w:type="spellEnd"/>
      <w:r w:rsidRPr="0035797B">
        <w:rPr>
          <w:szCs w:val="24"/>
        </w:rPr>
        <w:t xml:space="preserve">, S. (2011) “El rompecabezas productivo argentino. Una mirada actualizada para el diseño de políticas”. Boletín Informativo </w:t>
      </w:r>
      <w:proofErr w:type="spellStart"/>
      <w:r w:rsidRPr="0035797B">
        <w:rPr>
          <w:szCs w:val="24"/>
        </w:rPr>
        <w:t>Techint</w:t>
      </w:r>
      <w:proofErr w:type="spellEnd"/>
      <w:r w:rsidRPr="0035797B">
        <w:rPr>
          <w:szCs w:val="24"/>
        </w:rPr>
        <w:t xml:space="preserve"> Nro. 334.</w:t>
      </w:r>
    </w:p>
    <w:p w14:paraId="2E76A146" w14:textId="77777777" w:rsidR="0035797B" w:rsidRPr="0035797B" w:rsidRDefault="0035797B" w:rsidP="0035797B">
      <w:pPr>
        <w:ind w:left="284" w:hanging="284"/>
        <w:rPr>
          <w:szCs w:val="24"/>
          <w:lang w:val="en-US"/>
        </w:rPr>
      </w:pPr>
      <w:r w:rsidRPr="0035797B">
        <w:rPr>
          <w:szCs w:val="24"/>
          <w:lang w:val="en-US"/>
        </w:rPr>
        <w:t xml:space="preserve">Conti, G. (2005). “Training, productivity and wages in Italy”. </w:t>
      </w:r>
      <w:proofErr w:type="spellStart"/>
      <w:r w:rsidRPr="0035797B">
        <w:rPr>
          <w:szCs w:val="24"/>
          <w:lang w:val="en-US"/>
        </w:rPr>
        <w:t>Labour</w:t>
      </w:r>
      <w:proofErr w:type="spellEnd"/>
      <w:r w:rsidRPr="0035797B">
        <w:rPr>
          <w:szCs w:val="24"/>
          <w:lang w:val="en-US"/>
        </w:rPr>
        <w:t xml:space="preserve"> economics</w:t>
      </w:r>
      <w:proofErr w:type="gramStart"/>
      <w:r w:rsidRPr="0035797B">
        <w:rPr>
          <w:szCs w:val="24"/>
          <w:lang w:val="en-US"/>
        </w:rPr>
        <w:t>,12</w:t>
      </w:r>
      <w:proofErr w:type="gramEnd"/>
      <w:r w:rsidRPr="0035797B">
        <w:rPr>
          <w:szCs w:val="24"/>
          <w:lang w:val="en-US"/>
        </w:rPr>
        <w:t xml:space="preserve"> (4), 557-576.</w:t>
      </w:r>
    </w:p>
    <w:p w14:paraId="1815C0B7" w14:textId="77777777" w:rsidR="0035797B" w:rsidRPr="0035797B" w:rsidRDefault="0035797B" w:rsidP="0035797B">
      <w:pPr>
        <w:ind w:left="284" w:hanging="284"/>
        <w:rPr>
          <w:szCs w:val="24"/>
          <w:lang w:val="en-US"/>
        </w:rPr>
      </w:pPr>
      <w:proofErr w:type="spellStart"/>
      <w:r w:rsidRPr="0035797B">
        <w:rPr>
          <w:szCs w:val="24"/>
          <w:lang w:val="en-US"/>
        </w:rPr>
        <w:t>Dearden</w:t>
      </w:r>
      <w:proofErr w:type="spellEnd"/>
      <w:r w:rsidRPr="0035797B">
        <w:rPr>
          <w:szCs w:val="24"/>
          <w:lang w:val="en-US"/>
        </w:rPr>
        <w:t xml:space="preserve">, L., Reed, H., y Van </w:t>
      </w:r>
      <w:proofErr w:type="spellStart"/>
      <w:r w:rsidRPr="0035797B">
        <w:rPr>
          <w:szCs w:val="24"/>
          <w:lang w:val="en-US"/>
        </w:rPr>
        <w:t>Reenen</w:t>
      </w:r>
      <w:proofErr w:type="spellEnd"/>
      <w:r w:rsidRPr="0035797B">
        <w:rPr>
          <w:szCs w:val="24"/>
          <w:lang w:val="en-US"/>
        </w:rPr>
        <w:t>, J. (2006). The Impact of Training on Productivity and Wages: Evidence from British Panel Data*. Oxford Bulletin of Economics and Statistics, 68 (4), 397-421.</w:t>
      </w:r>
    </w:p>
    <w:p w14:paraId="158EEE7F" w14:textId="77777777" w:rsidR="0035797B" w:rsidRPr="0035797B" w:rsidRDefault="0035797B" w:rsidP="0035797B">
      <w:pPr>
        <w:ind w:left="284" w:hanging="284"/>
        <w:rPr>
          <w:szCs w:val="24"/>
          <w:lang w:val="en-US"/>
        </w:rPr>
      </w:pPr>
      <w:proofErr w:type="spellStart"/>
      <w:r w:rsidRPr="008B1E10">
        <w:rPr>
          <w:szCs w:val="24"/>
          <w:lang w:val="en-US"/>
        </w:rPr>
        <w:t>Dosi</w:t>
      </w:r>
      <w:proofErr w:type="spellEnd"/>
      <w:r w:rsidRPr="008B1E10">
        <w:rPr>
          <w:szCs w:val="24"/>
          <w:lang w:val="en-US"/>
        </w:rPr>
        <w:t xml:space="preserve">, G., </w:t>
      </w:r>
      <w:proofErr w:type="spellStart"/>
      <w:r w:rsidRPr="008B1E10">
        <w:rPr>
          <w:szCs w:val="24"/>
          <w:lang w:val="en-US"/>
        </w:rPr>
        <w:t>Lechevalier</w:t>
      </w:r>
      <w:proofErr w:type="spellEnd"/>
      <w:r w:rsidRPr="008B1E10">
        <w:rPr>
          <w:szCs w:val="24"/>
          <w:lang w:val="en-US"/>
        </w:rPr>
        <w:t xml:space="preserve">, S., </w:t>
      </w:r>
      <w:proofErr w:type="spellStart"/>
      <w:r w:rsidRPr="008B1E10">
        <w:rPr>
          <w:szCs w:val="24"/>
          <w:lang w:val="en-US"/>
        </w:rPr>
        <w:t>Secchi</w:t>
      </w:r>
      <w:proofErr w:type="spellEnd"/>
      <w:r w:rsidRPr="008B1E10">
        <w:rPr>
          <w:szCs w:val="24"/>
          <w:lang w:val="en-US"/>
        </w:rPr>
        <w:t xml:space="preserve">, A., 2010. </w:t>
      </w:r>
      <w:r w:rsidRPr="0035797B">
        <w:rPr>
          <w:szCs w:val="24"/>
          <w:lang w:val="en-US"/>
        </w:rPr>
        <w:t xml:space="preserve">Introduction: </w:t>
      </w:r>
      <w:proofErr w:type="spellStart"/>
      <w:r w:rsidRPr="0035797B">
        <w:rPr>
          <w:szCs w:val="24"/>
          <w:lang w:val="en-US"/>
        </w:rPr>
        <w:t>Interfirm</w:t>
      </w:r>
      <w:proofErr w:type="spellEnd"/>
      <w:r w:rsidRPr="0035797B">
        <w:rPr>
          <w:szCs w:val="24"/>
          <w:lang w:val="en-US"/>
        </w:rPr>
        <w:t xml:space="preserve"> heterogeneity—nature, sources and consequences for industrial dynamics. Industrial and Corporate Change 19, 1867-1890.</w:t>
      </w:r>
    </w:p>
    <w:p w14:paraId="27603297" w14:textId="77777777" w:rsidR="0035797B" w:rsidRPr="0035797B" w:rsidRDefault="0032040A" w:rsidP="0035797B">
      <w:pPr>
        <w:ind w:left="284" w:hanging="284"/>
        <w:rPr>
          <w:szCs w:val="24"/>
          <w:lang w:val="en-US"/>
        </w:rPr>
      </w:pPr>
      <w:proofErr w:type="spellStart"/>
      <w:r w:rsidRPr="007770FE">
        <w:rPr>
          <w:szCs w:val="24"/>
          <w:lang w:val="en-US"/>
        </w:rPr>
        <w:t>Faggio</w:t>
      </w:r>
      <w:proofErr w:type="spellEnd"/>
      <w:r w:rsidRPr="007770FE">
        <w:rPr>
          <w:szCs w:val="24"/>
          <w:lang w:val="en-US"/>
        </w:rPr>
        <w:t xml:space="preserve">, G., </w:t>
      </w:r>
      <w:proofErr w:type="spellStart"/>
      <w:r w:rsidRPr="007770FE">
        <w:rPr>
          <w:szCs w:val="24"/>
          <w:lang w:val="en-US"/>
        </w:rPr>
        <w:t>Salvanes</w:t>
      </w:r>
      <w:proofErr w:type="spellEnd"/>
      <w:r w:rsidRPr="007770FE">
        <w:rPr>
          <w:szCs w:val="24"/>
          <w:lang w:val="en-US"/>
        </w:rPr>
        <w:t xml:space="preserve">, K., Van </w:t>
      </w:r>
      <w:proofErr w:type="spellStart"/>
      <w:r w:rsidRPr="007770FE">
        <w:rPr>
          <w:szCs w:val="24"/>
          <w:lang w:val="en-US"/>
        </w:rPr>
        <w:t>Reenen</w:t>
      </w:r>
      <w:proofErr w:type="spellEnd"/>
      <w:r w:rsidRPr="007770FE">
        <w:rPr>
          <w:szCs w:val="24"/>
          <w:lang w:val="en-US"/>
        </w:rPr>
        <w:t xml:space="preserve">, J., 2007. </w:t>
      </w:r>
      <w:r w:rsidR="0035797B" w:rsidRPr="0035797B">
        <w:rPr>
          <w:szCs w:val="24"/>
          <w:lang w:val="en-US"/>
        </w:rPr>
        <w:t>The evolution of inequality in productivity and wages: panel data evidence. NBER Working paper series (Working Paper No. 1547). National Bureau of Economic Research. http://www.nber.org/papers/w13351.</w:t>
      </w:r>
    </w:p>
    <w:p w14:paraId="30818407" w14:textId="77777777" w:rsidR="0035797B" w:rsidRPr="0035797B" w:rsidRDefault="0035797B" w:rsidP="0035797B">
      <w:pPr>
        <w:ind w:left="284" w:hanging="284"/>
        <w:rPr>
          <w:szCs w:val="24"/>
        </w:rPr>
      </w:pPr>
      <w:r w:rsidRPr="0035797B">
        <w:rPr>
          <w:szCs w:val="24"/>
        </w:rPr>
        <w:lastRenderedPageBreak/>
        <w:t xml:space="preserve">Fernández </w:t>
      </w:r>
      <w:proofErr w:type="spellStart"/>
      <w:r w:rsidRPr="0035797B">
        <w:rPr>
          <w:szCs w:val="24"/>
        </w:rPr>
        <w:t>Bugna</w:t>
      </w:r>
      <w:proofErr w:type="spellEnd"/>
      <w:r w:rsidRPr="0035797B">
        <w:rPr>
          <w:szCs w:val="24"/>
        </w:rPr>
        <w:t xml:space="preserve">, C. y Porta, F. (2008). “El crecimiento reciente de la industria argentina. Nuevo régimen sin cambio estructural”. En </w:t>
      </w:r>
      <w:proofErr w:type="spellStart"/>
      <w:r w:rsidRPr="0035797B">
        <w:rPr>
          <w:szCs w:val="24"/>
        </w:rPr>
        <w:t>Kosacoff</w:t>
      </w:r>
      <w:proofErr w:type="spellEnd"/>
      <w:r w:rsidRPr="0035797B">
        <w:rPr>
          <w:szCs w:val="24"/>
        </w:rPr>
        <w:t>, B. (Ed.), Crisis, recuperación y nuevos dilemas. La economía argentina 2002-2007, CEPAL, Santiago de Chile.</w:t>
      </w:r>
    </w:p>
    <w:p w14:paraId="73B2CAB8" w14:textId="77777777" w:rsidR="00133F06" w:rsidRDefault="00133F06" w:rsidP="0035797B">
      <w:pPr>
        <w:ind w:left="284" w:hanging="284"/>
        <w:rPr>
          <w:szCs w:val="24"/>
          <w:lang w:val="en-US"/>
        </w:rPr>
      </w:pPr>
      <w:r w:rsidRPr="00F927C9">
        <w:rPr>
          <w:szCs w:val="24"/>
          <w:lang w:val="en-GB"/>
        </w:rPr>
        <w:t xml:space="preserve">Freeman, R. B., and </w:t>
      </w:r>
      <w:proofErr w:type="spellStart"/>
      <w:r w:rsidRPr="00F927C9">
        <w:rPr>
          <w:szCs w:val="24"/>
          <w:lang w:val="en-GB"/>
        </w:rPr>
        <w:t>Medoff</w:t>
      </w:r>
      <w:proofErr w:type="spellEnd"/>
      <w:r w:rsidRPr="00F927C9">
        <w:rPr>
          <w:szCs w:val="24"/>
          <w:lang w:val="en-GB"/>
        </w:rPr>
        <w:t xml:space="preserve">, J.L. (1984). </w:t>
      </w:r>
      <w:r w:rsidRPr="007770FE">
        <w:rPr>
          <w:szCs w:val="24"/>
          <w:lang w:val="en-US"/>
        </w:rPr>
        <w:t xml:space="preserve">"What do unions </w:t>
      </w:r>
      <w:proofErr w:type="gramStart"/>
      <w:r w:rsidRPr="007770FE">
        <w:rPr>
          <w:szCs w:val="24"/>
          <w:lang w:val="en-US"/>
        </w:rPr>
        <w:t>do.</w:t>
      </w:r>
      <w:proofErr w:type="gramEnd"/>
      <w:r w:rsidRPr="007770FE">
        <w:rPr>
          <w:szCs w:val="24"/>
          <w:lang w:val="en-US"/>
        </w:rPr>
        <w:t xml:space="preserve">" Basic Books. </w:t>
      </w:r>
    </w:p>
    <w:p w14:paraId="2D17EE4E" w14:textId="77777777" w:rsidR="0035797B" w:rsidRPr="0035797B" w:rsidRDefault="0035797B" w:rsidP="0035797B">
      <w:pPr>
        <w:ind w:left="284" w:hanging="284"/>
        <w:rPr>
          <w:szCs w:val="24"/>
        </w:rPr>
      </w:pPr>
      <w:proofErr w:type="spellStart"/>
      <w:r w:rsidRPr="0035797B">
        <w:rPr>
          <w:szCs w:val="24"/>
        </w:rPr>
        <w:t>Groisman</w:t>
      </w:r>
      <w:proofErr w:type="spellEnd"/>
      <w:r w:rsidRPr="0035797B">
        <w:rPr>
          <w:szCs w:val="24"/>
        </w:rPr>
        <w:t>, F</w:t>
      </w:r>
      <w:r>
        <w:rPr>
          <w:szCs w:val="24"/>
        </w:rPr>
        <w:t>. 2014</w:t>
      </w:r>
      <w:r w:rsidRPr="0035797B">
        <w:rPr>
          <w:szCs w:val="24"/>
        </w:rPr>
        <w:t>. "</w:t>
      </w:r>
      <w:r>
        <w:rPr>
          <w:szCs w:val="24"/>
        </w:rPr>
        <w:t>E</w:t>
      </w:r>
      <w:r w:rsidRPr="0035797B">
        <w:rPr>
          <w:szCs w:val="24"/>
        </w:rPr>
        <w:t xml:space="preserve">mpleo, salarios y desigualdad en argentina: análisis de los determinantes distributivos." Problemas del Desarrollo. Revista Latinoamericana de Economía 45.177 </w:t>
      </w:r>
    </w:p>
    <w:p w14:paraId="0A1DEAC0" w14:textId="77777777" w:rsidR="0035797B" w:rsidRPr="0035797B" w:rsidRDefault="0032040A" w:rsidP="0035797B">
      <w:pPr>
        <w:ind w:left="284" w:hanging="284"/>
        <w:rPr>
          <w:szCs w:val="24"/>
          <w:lang w:val="en-US"/>
        </w:rPr>
      </w:pPr>
      <w:proofErr w:type="spellStart"/>
      <w:r w:rsidRPr="007770FE">
        <w:rPr>
          <w:szCs w:val="24"/>
        </w:rPr>
        <w:t>Haltiwanger</w:t>
      </w:r>
      <w:proofErr w:type="spellEnd"/>
      <w:r w:rsidRPr="007770FE">
        <w:rPr>
          <w:szCs w:val="24"/>
        </w:rPr>
        <w:t xml:space="preserve">, J., </w:t>
      </w:r>
      <w:proofErr w:type="spellStart"/>
      <w:r w:rsidRPr="007770FE">
        <w:rPr>
          <w:szCs w:val="24"/>
        </w:rPr>
        <w:t>Lane</w:t>
      </w:r>
      <w:proofErr w:type="spellEnd"/>
      <w:r w:rsidRPr="007770FE">
        <w:rPr>
          <w:szCs w:val="24"/>
        </w:rPr>
        <w:t xml:space="preserve">, J., </w:t>
      </w:r>
      <w:proofErr w:type="spellStart"/>
      <w:r w:rsidRPr="007770FE">
        <w:rPr>
          <w:szCs w:val="24"/>
        </w:rPr>
        <w:t>Spletzer</w:t>
      </w:r>
      <w:proofErr w:type="spellEnd"/>
      <w:r w:rsidRPr="007770FE">
        <w:rPr>
          <w:szCs w:val="24"/>
        </w:rPr>
        <w:t xml:space="preserve">, J., 2000. </w:t>
      </w:r>
      <w:r w:rsidR="0035797B" w:rsidRPr="0035797B">
        <w:rPr>
          <w:szCs w:val="24"/>
          <w:lang w:val="en-US"/>
        </w:rPr>
        <w:t>Wages equal productivity. Fact or fiction? NBER Working paper series (Working Paper No. 7994). National Bureau of Economic Research.</w:t>
      </w:r>
    </w:p>
    <w:p w14:paraId="38C37502" w14:textId="77777777" w:rsidR="0035797B" w:rsidRPr="008E43DD" w:rsidRDefault="0035797B" w:rsidP="0035797B">
      <w:pPr>
        <w:ind w:left="284" w:hanging="284"/>
        <w:rPr>
          <w:szCs w:val="24"/>
          <w:lang w:val="en-US"/>
        </w:rPr>
      </w:pPr>
      <w:proofErr w:type="spellStart"/>
      <w:r w:rsidRPr="0035797B">
        <w:rPr>
          <w:szCs w:val="24"/>
          <w:lang w:val="en-US"/>
        </w:rPr>
        <w:t>Haltiwanger</w:t>
      </w:r>
      <w:proofErr w:type="spellEnd"/>
      <w:r w:rsidRPr="0035797B">
        <w:rPr>
          <w:szCs w:val="24"/>
          <w:lang w:val="en-US"/>
        </w:rPr>
        <w:t xml:space="preserve">, John C., Julia I. Lane, and y James R. </w:t>
      </w:r>
      <w:proofErr w:type="spellStart"/>
      <w:r w:rsidRPr="0035797B">
        <w:rPr>
          <w:szCs w:val="24"/>
          <w:lang w:val="en-US"/>
        </w:rPr>
        <w:t>Spletzer</w:t>
      </w:r>
      <w:proofErr w:type="spellEnd"/>
      <w:r w:rsidRPr="0035797B">
        <w:rPr>
          <w:szCs w:val="24"/>
          <w:lang w:val="en-US"/>
        </w:rPr>
        <w:t xml:space="preserve">. 2007a. “Wages, Productivity, and the Dynamic Interaction of Businesses and Workers.” </w:t>
      </w:r>
      <w:proofErr w:type="spellStart"/>
      <w:r w:rsidRPr="008E43DD">
        <w:rPr>
          <w:szCs w:val="24"/>
          <w:lang w:val="en-US"/>
        </w:rPr>
        <w:t>Labour</w:t>
      </w:r>
      <w:proofErr w:type="spellEnd"/>
      <w:r w:rsidRPr="008E43DD">
        <w:rPr>
          <w:szCs w:val="24"/>
          <w:lang w:val="en-US"/>
        </w:rPr>
        <w:t xml:space="preserve"> Economics 14 (3): 575–602.</w:t>
      </w:r>
    </w:p>
    <w:p w14:paraId="3D6C9C7A" w14:textId="77777777" w:rsidR="009539A9" w:rsidRDefault="009539A9" w:rsidP="009539A9">
      <w:pPr>
        <w:ind w:left="284" w:hanging="284"/>
        <w:rPr>
          <w:szCs w:val="24"/>
        </w:rPr>
      </w:pPr>
      <w:r w:rsidRPr="008B1E10">
        <w:rPr>
          <w:szCs w:val="24"/>
          <w:lang w:val="en-US"/>
        </w:rPr>
        <w:t xml:space="preserve">Jensen, M.B., Johnson, B., Lorenz, E., </w:t>
      </w:r>
      <w:proofErr w:type="spellStart"/>
      <w:r w:rsidRPr="008B1E10">
        <w:rPr>
          <w:szCs w:val="24"/>
          <w:lang w:val="en-US"/>
        </w:rPr>
        <w:t>Lundvall</w:t>
      </w:r>
      <w:proofErr w:type="spellEnd"/>
      <w:r w:rsidRPr="008B1E10">
        <w:rPr>
          <w:szCs w:val="24"/>
          <w:lang w:val="en-US"/>
        </w:rPr>
        <w:t xml:space="preserve">, B.Å., 2007. Forms of knowledge and modes of innovation. </w:t>
      </w:r>
      <w:proofErr w:type="spellStart"/>
      <w:r w:rsidRPr="009539A9">
        <w:rPr>
          <w:szCs w:val="24"/>
        </w:rPr>
        <w:t>Research</w:t>
      </w:r>
      <w:proofErr w:type="spellEnd"/>
      <w:r w:rsidRPr="009539A9">
        <w:rPr>
          <w:szCs w:val="24"/>
        </w:rPr>
        <w:t xml:space="preserve"> </w:t>
      </w:r>
      <w:proofErr w:type="spellStart"/>
      <w:r w:rsidRPr="009539A9">
        <w:rPr>
          <w:szCs w:val="24"/>
        </w:rPr>
        <w:t>Policy</w:t>
      </w:r>
      <w:proofErr w:type="spellEnd"/>
      <w:r w:rsidRPr="009539A9">
        <w:rPr>
          <w:szCs w:val="24"/>
        </w:rPr>
        <w:t xml:space="preserve"> 36, 680-693.</w:t>
      </w:r>
    </w:p>
    <w:p w14:paraId="0ABBCA7E" w14:textId="77777777" w:rsidR="009539A9" w:rsidRDefault="009539A9" w:rsidP="009539A9">
      <w:pPr>
        <w:ind w:left="284" w:hanging="284"/>
        <w:rPr>
          <w:szCs w:val="24"/>
        </w:rPr>
      </w:pPr>
      <w:proofErr w:type="spellStart"/>
      <w:r w:rsidRPr="008B1E10">
        <w:rPr>
          <w:szCs w:val="24"/>
        </w:rPr>
        <w:t>Lavopa</w:t>
      </w:r>
      <w:proofErr w:type="spellEnd"/>
      <w:r w:rsidRPr="008B1E10">
        <w:rPr>
          <w:szCs w:val="24"/>
        </w:rPr>
        <w:t>, A. (2007) “Heterogeneidad de la estructura productiva</w:t>
      </w:r>
      <w:r>
        <w:rPr>
          <w:szCs w:val="24"/>
        </w:rPr>
        <w:t xml:space="preserve"> </w:t>
      </w:r>
      <w:r w:rsidRPr="008B1E10">
        <w:rPr>
          <w:szCs w:val="24"/>
        </w:rPr>
        <w:t>argentina: impacto en el mercado laboral durante el período</w:t>
      </w:r>
      <w:r>
        <w:rPr>
          <w:szCs w:val="24"/>
        </w:rPr>
        <w:t xml:space="preserve"> </w:t>
      </w:r>
      <w:r w:rsidRPr="008B1E10">
        <w:rPr>
          <w:szCs w:val="24"/>
        </w:rPr>
        <w:t>1991-2003”. Documento de trabajo N° 9 (diciembre). Centro de Estudios</w:t>
      </w:r>
      <w:r>
        <w:rPr>
          <w:szCs w:val="24"/>
        </w:rPr>
        <w:t xml:space="preserve"> </w:t>
      </w:r>
      <w:r w:rsidRPr="008B1E10">
        <w:rPr>
          <w:szCs w:val="24"/>
        </w:rPr>
        <w:t>sobre Población, Empleo y Desarrollo (CEPED), Instituto de</w:t>
      </w:r>
      <w:r>
        <w:rPr>
          <w:szCs w:val="24"/>
        </w:rPr>
        <w:t xml:space="preserve"> </w:t>
      </w:r>
      <w:r w:rsidRPr="008B1E10">
        <w:rPr>
          <w:szCs w:val="24"/>
        </w:rPr>
        <w:t>Investigaciones Económicas, Facultad de Ciencias Económicas,</w:t>
      </w:r>
      <w:r>
        <w:rPr>
          <w:szCs w:val="24"/>
        </w:rPr>
        <w:t xml:space="preserve"> </w:t>
      </w:r>
      <w:r w:rsidRPr="008B1E10">
        <w:rPr>
          <w:szCs w:val="24"/>
        </w:rPr>
        <w:t>Universidad de Buenos Aires, Argentina.</w:t>
      </w:r>
    </w:p>
    <w:p w14:paraId="6153F2E7" w14:textId="77777777" w:rsidR="0035797B" w:rsidRPr="00A40D2B" w:rsidRDefault="0035797B">
      <w:pPr>
        <w:ind w:left="284" w:hanging="284"/>
        <w:rPr>
          <w:szCs w:val="24"/>
          <w:lang w:val="en-US"/>
        </w:rPr>
      </w:pPr>
      <w:r w:rsidRPr="0035797B">
        <w:rPr>
          <w:szCs w:val="24"/>
          <w:lang w:val="en-US"/>
        </w:rPr>
        <w:t>Mincer, J. 1974. Schooling, Experience, and Earnings. New York: National Bureau of Economic Research; distributed by Columbia University Press.</w:t>
      </w:r>
    </w:p>
    <w:p w14:paraId="6C9A6B6C" w14:textId="77777777" w:rsidR="0035797B" w:rsidRPr="0035797B" w:rsidRDefault="0035797B" w:rsidP="0035797B">
      <w:pPr>
        <w:ind w:left="284" w:hanging="284"/>
        <w:rPr>
          <w:szCs w:val="24"/>
        </w:rPr>
      </w:pPr>
      <w:r w:rsidRPr="0035797B">
        <w:rPr>
          <w:szCs w:val="24"/>
        </w:rPr>
        <w:t>MTSS (2010) Trabajo y Empleo en El bicentenario Cambio en la dinámica del empleo y la protección social para la inclusión: período 2003-2010. Proyecto PNUD ARG/04/034 “Sistema de información para la evaluación y el monitoreo del empleo, el trabajo y la inclusión social”.</w:t>
      </w:r>
    </w:p>
    <w:p w14:paraId="7B17F076" w14:textId="77777777" w:rsidR="0035797B" w:rsidRPr="008B1E10" w:rsidRDefault="0035797B" w:rsidP="0035797B">
      <w:pPr>
        <w:ind w:left="284" w:hanging="284"/>
        <w:rPr>
          <w:szCs w:val="24"/>
          <w:lang w:val="en-US"/>
        </w:rPr>
      </w:pPr>
      <w:r w:rsidRPr="0035797B">
        <w:rPr>
          <w:szCs w:val="24"/>
          <w:lang w:val="en-US"/>
        </w:rPr>
        <w:t xml:space="preserve">Nelson, R., 1981. Research on productivity growth and productivity differences: dead ends and new departures. </w:t>
      </w:r>
      <w:r w:rsidRPr="008B1E10">
        <w:rPr>
          <w:szCs w:val="24"/>
          <w:lang w:val="en-US"/>
        </w:rPr>
        <w:t>Journal of Economic Literature 19, 1029–1064.</w:t>
      </w:r>
    </w:p>
    <w:p w14:paraId="6070E42A" w14:textId="77777777" w:rsidR="00932FFD" w:rsidRDefault="0035797B" w:rsidP="0035797B">
      <w:pPr>
        <w:ind w:left="284" w:hanging="284"/>
        <w:rPr>
          <w:szCs w:val="24"/>
        </w:rPr>
      </w:pPr>
      <w:proofErr w:type="spellStart"/>
      <w:r w:rsidRPr="008B1E10">
        <w:rPr>
          <w:szCs w:val="24"/>
          <w:lang w:val="en-US"/>
        </w:rPr>
        <w:t>Novick</w:t>
      </w:r>
      <w:proofErr w:type="spellEnd"/>
      <w:r w:rsidRPr="008B1E10">
        <w:rPr>
          <w:szCs w:val="24"/>
          <w:lang w:val="en-US"/>
        </w:rPr>
        <w:t xml:space="preserve">, M., </w:t>
      </w:r>
      <w:proofErr w:type="spellStart"/>
      <w:r w:rsidR="00932FFD" w:rsidRPr="008B1E10">
        <w:rPr>
          <w:szCs w:val="24"/>
          <w:lang w:val="en-US"/>
        </w:rPr>
        <w:t>Tomada</w:t>
      </w:r>
      <w:proofErr w:type="spellEnd"/>
      <w:r w:rsidR="00932FFD" w:rsidRPr="008B1E10">
        <w:rPr>
          <w:szCs w:val="24"/>
          <w:lang w:val="en-US"/>
        </w:rPr>
        <w:t xml:space="preserve">, C., </w:t>
      </w:r>
      <w:proofErr w:type="spellStart"/>
      <w:r w:rsidR="00932FFD" w:rsidRPr="008B1E10">
        <w:rPr>
          <w:szCs w:val="24"/>
          <w:lang w:val="en-US"/>
        </w:rPr>
        <w:t>Damill</w:t>
      </w:r>
      <w:proofErr w:type="spellEnd"/>
      <w:r w:rsidR="00932FFD" w:rsidRPr="008B1E10">
        <w:rPr>
          <w:szCs w:val="24"/>
          <w:lang w:val="en-US"/>
        </w:rPr>
        <w:t xml:space="preserve">, M., </w:t>
      </w:r>
      <w:proofErr w:type="spellStart"/>
      <w:r w:rsidR="00932FFD" w:rsidRPr="008B1E10">
        <w:rPr>
          <w:szCs w:val="24"/>
          <w:lang w:val="en-US"/>
        </w:rPr>
        <w:t>Frenkel</w:t>
      </w:r>
      <w:proofErr w:type="spellEnd"/>
      <w:r w:rsidR="00932FFD" w:rsidRPr="008B1E10">
        <w:rPr>
          <w:szCs w:val="24"/>
          <w:lang w:val="en-US"/>
        </w:rPr>
        <w:t>, R. and Maurizio, R.</w:t>
      </w:r>
      <w:r w:rsidR="00932FFD">
        <w:rPr>
          <w:szCs w:val="24"/>
          <w:lang w:val="en-US"/>
        </w:rPr>
        <w:t xml:space="preserve"> (2007)</w:t>
      </w:r>
      <w:r w:rsidR="00932FFD" w:rsidRPr="008B1E10">
        <w:rPr>
          <w:szCs w:val="24"/>
          <w:lang w:val="en-US"/>
        </w:rPr>
        <w:t xml:space="preserve">. </w:t>
      </w:r>
      <w:r w:rsidRPr="008B1E10">
        <w:rPr>
          <w:szCs w:val="24"/>
        </w:rPr>
        <w:t xml:space="preserve">Tras la crisis: el nuevo rumbo de la política económica y laboral en Argentina y su impacto. </w:t>
      </w:r>
      <w:r w:rsidR="00932FFD" w:rsidRPr="008B1E10">
        <w:rPr>
          <w:szCs w:val="24"/>
        </w:rPr>
        <w:t>OIT / Instituto Inte</w:t>
      </w:r>
      <w:r w:rsidR="00932FFD">
        <w:rPr>
          <w:szCs w:val="24"/>
        </w:rPr>
        <w:t xml:space="preserve">rnacional de Estudios Laborales, </w:t>
      </w:r>
      <w:r w:rsidR="00932FFD" w:rsidRPr="008B1E10">
        <w:rPr>
          <w:szCs w:val="24"/>
        </w:rPr>
        <w:t>Serie de investigación 114</w:t>
      </w:r>
      <w:r w:rsidR="00932FFD">
        <w:rPr>
          <w:szCs w:val="24"/>
        </w:rPr>
        <w:t>. Ginebra.</w:t>
      </w:r>
    </w:p>
    <w:p w14:paraId="65EDFE7D" w14:textId="77777777" w:rsidR="0035797B" w:rsidRPr="0035797B" w:rsidRDefault="00932FFD" w:rsidP="0035797B">
      <w:pPr>
        <w:ind w:left="284" w:hanging="284"/>
        <w:rPr>
          <w:szCs w:val="24"/>
          <w:lang w:val="en-US"/>
        </w:rPr>
      </w:pPr>
      <w:r w:rsidRPr="008B1E10">
        <w:rPr>
          <w:szCs w:val="24"/>
          <w:lang w:val="en-US"/>
        </w:rPr>
        <w:t>O</w:t>
      </w:r>
      <w:r w:rsidR="0035797B" w:rsidRPr="00A40D2B">
        <w:rPr>
          <w:szCs w:val="24"/>
          <w:lang w:val="en-US"/>
        </w:rPr>
        <w:t xml:space="preserve">ECD, 1997. </w:t>
      </w:r>
      <w:r w:rsidR="0035797B" w:rsidRPr="0035797B">
        <w:rPr>
          <w:szCs w:val="24"/>
          <w:lang w:val="en-US"/>
        </w:rPr>
        <w:t xml:space="preserve">Revision of the High-Technology Sector and Product Classification, in: </w:t>
      </w:r>
      <w:proofErr w:type="spellStart"/>
      <w:r w:rsidR="0035797B" w:rsidRPr="0035797B">
        <w:rPr>
          <w:szCs w:val="24"/>
          <w:lang w:val="en-US"/>
        </w:rPr>
        <w:t>Hatzichronoglou</w:t>
      </w:r>
      <w:proofErr w:type="spellEnd"/>
      <w:r w:rsidR="0035797B" w:rsidRPr="0035797B">
        <w:rPr>
          <w:szCs w:val="24"/>
          <w:lang w:val="en-US"/>
        </w:rPr>
        <w:t>, T. (Ed.). OECD, Science, Technology and Industry Working Papers, 1997/2.</w:t>
      </w:r>
    </w:p>
    <w:p w14:paraId="7648FC70" w14:textId="77777777" w:rsidR="0035797B" w:rsidRPr="0035797B" w:rsidRDefault="0035797B" w:rsidP="0035797B">
      <w:pPr>
        <w:ind w:left="284" w:hanging="284"/>
        <w:rPr>
          <w:szCs w:val="24"/>
        </w:rPr>
      </w:pPr>
      <w:r w:rsidRPr="0035797B">
        <w:rPr>
          <w:szCs w:val="24"/>
          <w:lang w:val="en-US"/>
        </w:rPr>
        <w:t>Palomino, H</w:t>
      </w:r>
      <w:r>
        <w:rPr>
          <w:szCs w:val="24"/>
          <w:lang w:val="en-US"/>
        </w:rPr>
        <w:t>.</w:t>
      </w:r>
      <w:r w:rsidRPr="0035797B">
        <w:rPr>
          <w:szCs w:val="24"/>
          <w:lang w:val="en-US"/>
        </w:rPr>
        <w:t xml:space="preserve">, and </w:t>
      </w:r>
      <w:proofErr w:type="spellStart"/>
      <w:r w:rsidRPr="0035797B">
        <w:rPr>
          <w:szCs w:val="24"/>
          <w:lang w:val="en-US"/>
        </w:rPr>
        <w:t>Trajtemberg</w:t>
      </w:r>
      <w:proofErr w:type="spellEnd"/>
      <w:r>
        <w:rPr>
          <w:szCs w:val="24"/>
          <w:lang w:val="en-US"/>
        </w:rPr>
        <w:t>, D. 2006</w:t>
      </w:r>
      <w:r w:rsidRPr="0035797B">
        <w:rPr>
          <w:szCs w:val="24"/>
          <w:lang w:val="en-US"/>
        </w:rPr>
        <w:t xml:space="preserve">. </w:t>
      </w:r>
      <w:r w:rsidRPr="0035797B">
        <w:rPr>
          <w:szCs w:val="24"/>
        </w:rPr>
        <w:t>"Una nueva dinámica de las relaciones laborales y la negociación colectiva en la Argentina." Revista de trabajo 2.3 (2006): 47-68.</w:t>
      </w:r>
    </w:p>
    <w:p w14:paraId="69095EA1" w14:textId="77777777" w:rsidR="0035797B" w:rsidRPr="00E81A25" w:rsidRDefault="0035797B" w:rsidP="0035797B">
      <w:pPr>
        <w:ind w:left="284" w:hanging="284"/>
        <w:rPr>
          <w:szCs w:val="24"/>
        </w:rPr>
      </w:pPr>
      <w:proofErr w:type="spellStart"/>
      <w:r w:rsidRPr="0035797B">
        <w:rPr>
          <w:szCs w:val="24"/>
        </w:rPr>
        <w:t>Peirano</w:t>
      </w:r>
      <w:proofErr w:type="spellEnd"/>
      <w:r w:rsidRPr="0035797B">
        <w:rPr>
          <w:szCs w:val="24"/>
        </w:rPr>
        <w:t xml:space="preserve">, F., </w:t>
      </w:r>
      <w:proofErr w:type="spellStart"/>
      <w:r w:rsidRPr="0035797B">
        <w:rPr>
          <w:szCs w:val="24"/>
        </w:rPr>
        <w:t>Tavosnanska</w:t>
      </w:r>
      <w:proofErr w:type="spellEnd"/>
      <w:r w:rsidRPr="0035797B">
        <w:rPr>
          <w:szCs w:val="24"/>
        </w:rPr>
        <w:t xml:space="preserve">, A. y </w:t>
      </w:r>
      <w:proofErr w:type="spellStart"/>
      <w:r w:rsidRPr="0035797B">
        <w:rPr>
          <w:szCs w:val="24"/>
        </w:rPr>
        <w:t>Goldstein</w:t>
      </w:r>
      <w:proofErr w:type="spellEnd"/>
      <w:r w:rsidRPr="0035797B">
        <w:rPr>
          <w:szCs w:val="24"/>
        </w:rPr>
        <w:t xml:space="preserve">, E. (2010) “El crecimiento de argentina entre 2003 y 2008. Virtudes, tensiones y aspectos pendientes”. En Consenso Progresista. Política Económica de los Gobiernos del Cono Sur. Elementos comunes, diferencias y aprendizajes. Red de Fundaciones Progresistas. ISBN: 978-987-20736-7-1. </w:t>
      </w:r>
      <w:hyperlink r:id="rId8" w:history="1">
        <w:r w:rsidR="002540AE" w:rsidRPr="00E81A25">
          <w:rPr>
            <w:rStyle w:val="Hipervnculo"/>
            <w:szCs w:val="24"/>
          </w:rPr>
          <w:t>www.fes.org.ar</w:t>
        </w:r>
      </w:hyperlink>
    </w:p>
    <w:p w14:paraId="27802FC4" w14:textId="77777777" w:rsidR="009539A9" w:rsidRPr="008B1E10" w:rsidRDefault="009539A9" w:rsidP="009539A9">
      <w:pPr>
        <w:ind w:left="284" w:hanging="284"/>
        <w:rPr>
          <w:szCs w:val="24"/>
          <w:lang w:val="en-US"/>
        </w:rPr>
      </w:pPr>
      <w:proofErr w:type="spellStart"/>
      <w:r w:rsidRPr="00E81A25">
        <w:rPr>
          <w:szCs w:val="24"/>
        </w:rPr>
        <w:lastRenderedPageBreak/>
        <w:t>Roitter</w:t>
      </w:r>
      <w:proofErr w:type="spellEnd"/>
      <w:r w:rsidRPr="00E81A25">
        <w:rPr>
          <w:szCs w:val="24"/>
        </w:rPr>
        <w:t xml:space="preserve">, S., </w:t>
      </w:r>
      <w:proofErr w:type="spellStart"/>
      <w:r w:rsidRPr="00E81A25">
        <w:rPr>
          <w:szCs w:val="24"/>
        </w:rPr>
        <w:t>Erbes</w:t>
      </w:r>
      <w:proofErr w:type="spellEnd"/>
      <w:r w:rsidRPr="00E81A25">
        <w:rPr>
          <w:szCs w:val="24"/>
        </w:rPr>
        <w:t xml:space="preserve">, A., </w:t>
      </w:r>
      <w:proofErr w:type="spellStart"/>
      <w:r w:rsidRPr="00E81A25">
        <w:rPr>
          <w:szCs w:val="24"/>
        </w:rPr>
        <w:t>Kababe</w:t>
      </w:r>
      <w:proofErr w:type="spellEnd"/>
      <w:r w:rsidRPr="00E81A25">
        <w:rPr>
          <w:szCs w:val="24"/>
        </w:rPr>
        <w:t xml:space="preserve">, Y., 2013. </w:t>
      </w:r>
      <w:r w:rsidRPr="009539A9">
        <w:rPr>
          <w:szCs w:val="24"/>
        </w:rPr>
        <w:t>Desarrollo inclusivo en</w:t>
      </w:r>
      <w:r>
        <w:rPr>
          <w:szCs w:val="24"/>
        </w:rPr>
        <w:t xml:space="preserve"> </w:t>
      </w:r>
      <w:r w:rsidRPr="009539A9">
        <w:rPr>
          <w:szCs w:val="24"/>
        </w:rPr>
        <w:t>Argentina: Cambio estructural y empleo en las etapas de recuperación y</w:t>
      </w:r>
      <w:r>
        <w:rPr>
          <w:szCs w:val="24"/>
        </w:rPr>
        <w:t xml:space="preserve"> </w:t>
      </w:r>
      <w:r w:rsidRPr="009539A9">
        <w:rPr>
          <w:szCs w:val="24"/>
        </w:rPr>
        <w:t xml:space="preserve">crecimiento reciente, in: Infante, R., </w:t>
      </w:r>
      <w:proofErr w:type="spellStart"/>
      <w:r w:rsidRPr="009539A9">
        <w:rPr>
          <w:szCs w:val="24"/>
        </w:rPr>
        <w:t>Gerstenfeld</w:t>
      </w:r>
      <w:proofErr w:type="spellEnd"/>
      <w:r w:rsidRPr="009539A9">
        <w:rPr>
          <w:szCs w:val="24"/>
        </w:rPr>
        <w:t>, P. (Eds.), Hacia</w:t>
      </w:r>
      <w:r>
        <w:rPr>
          <w:szCs w:val="24"/>
        </w:rPr>
        <w:t xml:space="preserve"> </w:t>
      </w:r>
      <w:r w:rsidRPr="009539A9">
        <w:rPr>
          <w:szCs w:val="24"/>
        </w:rPr>
        <w:t xml:space="preserve">un desarrollo inclusivo. </w:t>
      </w:r>
      <w:r w:rsidRPr="008B1E10">
        <w:rPr>
          <w:szCs w:val="24"/>
          <w:lang w:val="en-US"/>
        </w:rPr>
        <w:t xml:space="preserve">El </w:t>
      </w:r>
      <w:proofErr w:type="spellStart"/>
      <w:r w:rsidRPr="008B1E10">
        <w:rPr>
          <w:szCs w:val="24"/>
          <w:lang w:val="en-US"/>
        </w:rPr>
        <w:t>caso</w:t>
      </w:r>
      <w:proofErr w:type="spellEnd"/>
      <w:r w:rsidRPr="008B1E10">
        <w:rPr>
          <w:szCs w:val="24"/>
          <w:lang w:val="en-US"/>
        </w:rPr>
        <w:t xml:space="preserve"> de la Argentina. . CEPAL- OIT.</w:t>
      </w:r>
    </w:p>
    <w:p w14:paraId="7BB52D8B" w14:textId="77777777" w:rsidR="002540AE" w:rsidRPr="00F15DA8" w:rsidRDefault="002540AE" w:rsidP="002540AE">
      <w:pPr>
        <w:ind w:left="284" w:hanging="284"/>
        <w:rPr>
          <w:szCs w:val="24"/>
          <w:lang w:val="en-US"/>
        </w:rPr>
      </w:pPr>
      <w:r w:rsidRPr="00F15DA8">
        <w:rPr>
          <w:szCs w:val="24"/>
          <w:lang w:val="en-US"/>
        </w:rPr>
        <w:t xml:space="preserve">Rosenbaum, P.R., Rubin, D.B., 1983. ”The central role of the propensity score observational studies for causal effects”. </w:t>
      </w:r>
      <w:proofErr w:type="spellStart"/>
      <w:r w:rsidRPr="00F15DA8">
        <w:rPr>
          <w:szCs w:val="24"/>
          <w:lang w:val="en-US"/>
        </w:rPr>
        <w:t>Biometrica</w:t>
      </w:r>
      <w:proofErr w:type="spellEnd"/>
      <w:r w:rsidRPr="00F15DA8">
        <w:rPr>
          <w:szCs w:val="24"/>
          <w:lang w:val="en-US"/>
        </w:rPr>
        <w:t xml:space="preserve"> 70, 41–55.</w:t>
      </w:r>
    </w:p>
    <w:p w14:paraId="70A1284D" w14:textId="77777777" w:rsidR="002540AE" w:rsidRPr="008B1E10" w:rsidRDefault="002540AE" w:rsidP="002540AE">
      <w:pPr>
        <w:ind w:left="284" w:hanging="284"/>
        <w:rPr>
          <w:szCs w:val="24"/>
        </w:rPr>
      </w:pPr>
      <w:r w:rsidRPr="00F15DA8">
        <w:rPr>
          <w:szCs w:val="24"/>
          <w:lang w:val="en-US"/>
        </w:rPr>
        <w:t xml:space="preserve">Rubin, D.B., 1977. “Assignment to treatment group on the basis of covariate”. </w:t>
      </w:r>
      <w:proofErr w:type="spellStart"/>
      <w:r w:rsidRPr="008B1E10">
        <w:rPr>
          <w:szCs w:val="24"/>
        </w:rPr>
        <w:t>Journal</w:t>
      </w:r>
      <w:proofErr w:type="spellEnd"/>
      <w:r w:rsidRPr="008B1E10">
        <w:rPr>
          <w:szCs w:val="24"/>
        </w:rPr>
        <w:t xml:space="preserve"> of </w:t>
      </w:r>
      <w:proofErr w:type="spellStart"/>
      <w:r w:rsidRPr="008B1E10">
        <w:rPr>
          <w:szCs w:val="24"/>
        </w:rPr>
        <w:t>Educational</w:t>
      </w:r>
      <w:proofErr w:type="spellEnd"/>
      <w:r w:rsidRPr="008B1E10">
        <w:rPr>
          <w:szCs w:val="24"/>
        </w:rPr>
        <w:t xml:space="preserve"> </w:t>
      </w:r>
      <w:proofErr w:type="spellStart"/>
      <w:r w:rsidRPr="008B1E10">
        <w:rPr>
          <w:szCs w:val="24"/>
        </w:rPr>
        <w:t>Statistics</w:t>
      </w:r>
      <w:proofErr w:type="spellEnd"/>
      <w:r w:rsidRPr="008B1E10">
        <w:rPr>
          <w:szCs w:val="24"/>
        </w:rPr>
        <w:t xml:space="preserve"> 2, 1–26.</w:t>
      </w:r>
    </w:p>
    <w:p w14:paraId="71940715" w14:textId="77777777" w:rsidR="0035797B" w:rsidRPr="0035797B" w:rsidRDefault="0035797B" w:rsidP="009539A9">
      <w:pPr>
        <w:ind w:left="284" w:hanging="284"/>
        <w:rPr>
          <w:szCs w:val="24"/>
        </w:rPr>
      </w:pPr>
      <w:proofErr w:type="spellStart"/>
      <w:r w:rsidRPr="0035797B">
        <w:rPr>
          <w:szCs w:val="24"/>
        </w:rPr>
        <w:t>Santarcángelo</w:t>
      </w:r>
      <w:proofErr w:type="spellEnd"/>
      <w:r w:rsidRPr="0035797B">
        <w:rPr>
          <w:szCs w:val="24"/>
        </w:rPr>
        <w:t xml:space="preserve">, J., </w:t>
      </w:r>
      <w:proofErr w:type="spellStart"/>
      <w:r w:rsidRPr="0035797B">
        <w:rPr>
          <w:szCs w:val="24"/>
        </w:rPr>
        <w:t>Fal</w:t>
      </w:r>
      <w:proofErr w:type="spellEnd"/>
      <w:r w:rsidRPr="0035797B">
        <w:rPr>
          <w:szCs w:val="24"/>
        </w:rPr>
        <w:t>, J. y Pinazo, G. (2011) “Los motores del crecimiento económico en la Argentina: rupturas y continuidades”. Investigación Económica, Vol. LXX, 275, enero-marzo, pp. 93-114</w:t>
      </w:r>
    </w:p>
    <w:p w14:paraId="56E0AD3C" w14:textId="77777777" w:rsidR="0035797B" w:rsidRPr="0035797B" w:rsidRDefault="0035797B" w:rsidP="0035797B">
      <w:pPr>
        <w:ind w:left="284" w:hanging="284"/>
        <w:rPr>
          <w:szCs w:val="24"/>
        </w:rPr>
      </w:pPr>
      <w:r w:rsidRPr="0035797B">
        <w:rPr>
          <w:szCs w:val="24"/>
        </w:rPr>
        <w:t xml:space="preserve">Sarabia M., </w:t>
      </w:r>
      <w:proofErr w:type="spellStart"/>
      <w:r w:rsidRPr="0035797B">
        <w:rPr>
          <w:szCs w:val="24"/>
        </w:rPr>
        <w:t>Schleser</w:t>
      </w:r>
      <w:proofErr w:type="spellEnd"/>
      <w:r w:rsidRPr="0035797B">
        <w:rPr>
          <w:szCs w:val="24"/>
        </w:rPr>
        <w:t xml:space="preserve"> D., Soto C. (2010) “Debates de políticas sobre el bienestar,  la equidad y la inclusión social: Ampliación del sistema de protección social en  Argentina”, </w:t>
      </w:r>
      <w:proofErr w:type="spellStart"/>
      <w:r w:rsidRPr="0035797B">
        <w:rPr>
          <w:szCs w:val="24"/>
        </w:rPr>
        <w:t>MTEySS</w:t>
      </w:r>
      <w:proofErr w:type="spellEnd"/>
      <w:r w:rsidRPr="0035797B">
        <w:rPr>
          <w:szCs w:val="24"/>
        </w:rPr>
        <w:t>, Buenos Aires</w:t>
      </w:r>
    </w:p>
    <w:p w14:paraId="0462B356" w14:textId="77777777" w:rsidR="00644D03" w:rsidRDefault="00276AB3" w:rsidP="0035797B">
      <w:pPr>
        <w:ind w:left="284" w:hanging="284"/>
        <w:rPr>
          <w:szCs w:val="24"/>
          <w:lang w:val="en-US"/>
        </w:rPr>
      </w:pPr>
      <w:proofErr w:type="spellStart"/>
      <w:r>
        <w:rPr>
          <w:szCs w:val="24"/>
          <w:lang w:val="en-US"/>
        </w:rPr>
        <w:t>Syverson</w:t>
      </w:r>
      <w:proofErr w:type="spellEnd"/>
      <w:r>
        <w:rPr>
          <w:szCs w:val="24"/>
          <w:lang w:val="en-US"/>
        </w:rPr>
        <w:t>, Chad. 2011. “What d</w:t>
      </w:r>
      <w:r w:rsidR="0035797B" w:rsidRPr="0035797B">
        <w:rPr>
          <w:szCs w:val="24"/>
          <w:lang w:val="en-US"/>
        </w:rPr>
        <w:t>etermine</w:t>
      </w:r>
      <w:r>
        <w:rPr>
          <w:szCs w:val="24"/>
          <w:lang w:val="en-US"/>
        </w:rPr>
        <w:t>s p</w:t>
      </w:r>
      <w:r w:rsidR="0035797B" w:rsidRPr="0035797B">
        <w:rPr>
          <w:szCs w:val="24"/>
          <w:lang w:val="en-US"/>
        </w:rPr>
        <w:t>roductivity?” Journal of Economic Literature 49 (2) (June): 326–365. doi:10.1257/jel.49.2.326.</w:t>
      </w:r>
    </w:p>
    <w:p w14:paraId="5986AA3B" w14:textId="77777777" w:rsidR="00C41769" w:rsidRPr="00F81EA3" w:rsidRDefault="00932FFD" w:rsidP="00C41769">
      <w:pPr>
        <w:rPr>
          <w:szCs w:val="24"/>
          <w:lang w:val="en-US"/>
        </w:rPr>
      </w:pPr>
      <w:r w:rsidRPr="00932FFD">
        <w:rPr>
          <w:szCs w:val="24"/>
          <w:lang w:val="en-US"/>
        </w:rPr>
        <w:t>Zhang, J., Liu, X., 2013. The evolving pattern of the wage–labor productivity nexus in China: Evidence from manufacturing firm-level data. Economic Systems 37, 354-368.</w:t>
      </w:r>
    </w:p>
    <w:p w14:paraId="1E3D77EC" w14:textId="77777777" w:rsidR="000E4FA0" w:rsidRDefault="000E4FA0">
      <w:pPr>
        <w:spacing w:after="200"/>
        <w:jc w:val="left"/>
        <w:rPr>
          <w:b/>
          <w:sz w:val="28"/>
          <w:szCs w:val="24"/>
          <w:lang w:val="en-US"/>
        </w:rPr>
      </w:pPr>
      <w:r>
        <w:rPr>
          <w:b/>
          <w:sz w:val="28"/>
          <w:szCs w:val="24"/>
          <w:lang w:val="en-US"/>
        </w:rPr>
        <w:br w:type="page"/>
      </w:r>
    </w:p>
    <w:p w14:paraId="372E4E16" w14:textId="77777777" w:rsidR="00BC71F1" w:rsidRPr="00F927C9" w:rsidRDefault="0032040A">
      <w:pPr>
        <w:rPr>
          <w:b/>
          <w:szCs w:val="24"/>
          <w:lang w:val="en-US"/>
        </w:rPr>
      </w:pPr>
      <w:r w:rsidRPr="00F927C9">
        <w:rPr>
          <w:b/>
          <w:szCs w:val="24"/>
          <w:lang w:val="en-US"/>
        </w:rPr>
        <w:lastRenderedPageBreak/>
        <w:t>Appendix</w:t>
      </w:r>
    </w:p>
    <w:p w14:paraId="0676620F" w14:textId="3A53497F" w:rsidR="00D24B99" w:rsidRPr="00F927C9" w:rsidRDefault="00D24B99" w:rsidP="00D24B99">
      <w:pPr>
        <w:rPr>
          <w:szCs w:val="24"/>
          <w:lang w:val="en-US"/>
        </w:rPr>
      </w:pPr>
      <w:r w:rsidRPr="00F927C9">
        <w:rPr>
          <w:szCs w:val="24"/>
          <w:lang w:val="en-US"/>
        </w:rPr>
        <w:t xml:space="preserve">As </w:t>
      </w:r>
      <w:r w:rsidR="008A5F8D">
        <w:rPr>
          <w:szCs w:val="24"/>
          <w:lang w:val="en-US"/>
        </w:rPr>
        <w:t xml:space="preserve">was </w:t>
      </w:r>
      <w:r w:rsidRPr="00F927C9">
        <w:rPr>
          <w:szCs w:val="24"/>
          <w:lang w:val="en-US"/>
        </w:rPr>
        <w:t xml:space="preserve">outlined in Section </w:t>
      </w:r>
      <w:r w:rsidR="00D370BD" w:rsidRPr="00F927C9">
        <w:rPr>
          <w:szCs w:val="24"/>
          <w:lang w:val="en-US"/>
        </w:rPr>
        <w:t>2</w:t>
      </w:r>
      <w:r w:rsidRPr="00F927C9">
        <w:rPr>
          <w:szCs w:val="24"/>
          <w:lang w:val="en-US"/>
        </w:rPr>
        <w:t xml:space="preserve">, for each treated firm there must be a potential control observation with a similar propensity score. To do this we calculate the minimum and maximum of the propensity scores of the potential control group. It turns out that for 18 firms in the treatment group we do not have adequate equivalents firm in the control group. These observations are not considered in the matching process. </w:t>
      </w:r>
      <w:r w:rsidR="00D370BD" w:rsidRPr="00F927C9">
        <w:rPr>
          <w:szCs w:val="24"/>
          <w:lang w:val="en-US"/>
        </w:rPr>
        <w:t>F</w:t>
      </w:r>
      <w:r w:rsidRPr="00F927C9">
        <w:rPr>
          <w:szCs w:val="24"/>
          <w:lang w:val="en-US"/>
        </w:rPr>
        <w:t>igure 1 presents the set of non-treated firms, those treated firms that belong to the common support and those that are not considered.</w:t>
      </w:r>
    </w:p>
    <w:p w14:paraId="069C988B" w14:textId="77777777" w:rsidR="006F2141" w:rsidRDefault="006F2141" w:rsidP="00D24B99">
      <w:pPr>
        <w:spacing w:after="0"/>
        <w:rPr>
          <w:b/>
          <w:sz w:val="22"/>
          <w:lang w:val="en-US"/>
        </w:rPr>
      </w:pPr>
    </w:p>
    <w:p w14:paraId="4094BDB9" w14:textId="77777777" w:rsidR="00D24B99" w:rsidRDefault="00D24B99" w:rsidP="00D24B99">
      <w:pPr>
        <w:spacing w:after="0"/>
        <w:rPr>
          <w:b/>
          <w:sz w:val="22"/>
          <w:lang w:val="en-US"/>
        </w:rPr>
      </w:pPr>
      <w:r w:rsidRPr="006F2141">
        <w:rPr>
          <w:b/>
          <w:sz w:val="22"/>
          <w:lang w:val="en-US"/>
        </w:rPr>
        <w:t>Figure 1. Propensity score and common support</w:t>
      </w:r>
    </w:p>
    <w:p w14:paraId="2694E686" w14:textId="77777777" w:rsidR="00245C27" w:rsidRDefault="00245C27" w:rsidP="00D24B99">
      <w:pPr>
        <w:spacing w:after="0"/>
        <w:rPr>
          <w:b/>
          <w:sz w:val="22"/>
          <w:lang w:val="en-US"/>
        </w:rPr>
      </w:pPr>
    </w:p>
    <w:p w14:paraId="395C7B05" w14:textId="47DE2D72" w:rsidR="00245C27" w:rsidRDefault="00245C27" w:rsidP="00D24B99">
      <w:pPr>
        <w:spacing w:after="0"/>
        <w:rPr>
          <w:b/>
          <w:sz w:val="22"/>
          <w:lang w:val="en-US"/>
        </w:rPr>
      </w:pPr>
      <w:r w:rsidRPr="00245C27">
        <w:rPr>
          <w:b/>
          <w:noProof/>
          <w:sz w:val="22"/>
          <w:lang w:eastAsia="es-AR"/>
        </w:rPr>
        <w:drawing>
          <wp:inline distT="0" distB="0" distL="0" distR="0" wp14:anchorId="22D5AE02" wp14:editId="16B2BD09">
            <wp:extent cx="3339296" cy="2444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2" cy="2449302"/>
                    </a:xfrm>
                    <a:prstGeom prst="rect">
                      <a:avLst/>
                    </a:prstGeom>
                    <a:noFill/>
                    <a:ln>
                      <a:noFill/>
                    </a:ln>
                  </pic:spPr>
                </pic:pic>
              </a:graphicData>
            </a:graphic>
          </wp:inline>
        </w:drawing>
      </w:r>
    </w:p>
    <w:p w14:paraId="07E0B3A9" w14:textId="77777777" w:rsidR="00D370BD" w:rsidRPr="006F2141" w:rsidRDefault="00D370BD" w:rsidP="00F927C9">
      <w:pPr>
        <w:rPr>
          <w:sz w:val="20"/>
          <w:lang w:val="en-US"/>
        </w:rPr>
      </w:pPr>
      <w:r w:rsidRPr="006F2141">
        <w:rPr>
          <w:sz w:val="20"/>
          <w:lang w:val="en-US"/>
        </w:rPr>
        <w:t xml:space="preserve">Source: Own elaboration base on </w:t>
      </w:r>
      <w:proofErr w:type="spellStart"/>
      <w:r w:rsidRPr="006F2141">
        <w:rPr>
          <w:sz w:val="20"/>
          <w:lang w:val="en-US"/>
        </w:rPr>
        <w:t>Mapa</w:t>
      </w:r>
      <w:proofErr w:type="spellEnd"/>
      <w:r w:rsidRPr="006F2141">
        <w:rPr>
          <w:sz w:val="20"/>
          <w:lang w:val="en-US"/>
        </w:rPr>
        <w:t xml:space="preserve"> </w:t>
      </w:r>
      <w:proofErr w:type="spellStart"/>
      <w:r w:rsidRPr="006F2141">
        <w:rPr>
          <w:sz w:val="20"/>
          <w:lang w:val="en-US"/>
        </w:rPr>
        <w:t>Pyme</w:t>
      </w:r>
      <w:proofErr w:type="spellEnd"/>
      <w:r w:rsidRPr="006F2141">
        <w:rPr>
          <w:sz w:val="20"/>
          <w:lang w:val="en-US"/>
        </w:rPr>
        <w:t xml:space="preserve"> and Ministry of Labor and Social Security</w:t>
      </w:r>
    </w:p>
    <w:p w14:paraId="52591D61" w14:textId="77777777" w:rsidR="00D370BD" w:rsidRPr="006F2141" w:rsidRDefault="00D370BD" w:rsidP="00D24B99">
      <w:pPr>
        <w:rPr>
          <w:sz w:val="22"/>
          <w:lang w:val="en-US"/>
        </w:rPr>
      </w:pPr>
    </w:p>
    <w:p w14:paraId="3FC8FAEA" w14:textId="77777777" w:rsidR="00D24B99" w:rsidRPr="00F927C9" w:rsidRDefault="00D24B99" w:rsidP="00D24B99">
      <w:pPr>
        <w:rPr>
          <w:szCs w:val="24"/>
          <w:lang w:val="en-US"/>
        </w:rPr>
      </w:pPr>
      <w:r w:rsidRPr="00F927C9">
        <w:rPr>
          <w:szCs w:val="24"/>
          <w:lang w:val="en-US"/>
        </w:rPr>
        <w:t xml:space="preserve">Other important prerequisite for matching procedure is the fulfillment of the </w:t>
      </w:r>
      <w:r w:rsidR="00D370BD" w:rsidRPr="00F927C9">
        <w:rPr>
          <w:szCs w:val="24"/>
          <w:lang w:val="en-US"/>
        </w:rPr>
        <w:t>conditional independence assumption</w:t>
      </w:r>
      <w:r w:rsidRPr="00F927C9">
        <w:rPr>
          <w:szCs w:val="24"/>
          <w:lang w:val="en-US"/>
        </w:rPr>
        <w:t xml:space="preserve">. That is, conditional to the propensity score, the differences between treated and non-treated firms were only attributable to </w:t>
      </w:r>
      <w:r w:rsidR="00D370BD" w:rsidRPr="00F927C9">
        <w:rPr>
          <w:szCs w:val="24"/>
          <w:lang w:val="en-US"/>
        </w:rPr>
        <w:t>training activities</w:t>
      </w:r>
      <w:r w:rsidRPr="00F927C9">
        <w:rPr>
          <w:szCs w:val="24"/>
          <w:lang w:val="en-US"/>
        </w:rPr>
        <w:t xml:space="preserve">. To check this we can see if the set of covariates are well balanced after the matching. Table </w:t>
      </w:r>
      <w:r w:rsidR="00D370BD" w:rsidRPr="00F927C9">
        <w:rPr>
          <w:szCs w:val="24"/>
          <w:lang w:val="en-US"/>
        </w:rPr>
        <w:t>6</w:t>
      </w:r>
      <w:r w:rsidR="00832D9F" w:rsidRPr="00F927C9">
        <w:rPr>
          <w:szCs w:val="24"/>
          <w:lang w:val="en-US"/>
        </w:rPr>
        <w:t xml:space="preserve"> </w:t>
      </w:r>
      <w:r w:rsidRPr="00F927C9">
        <w:rPr>
          <w:szCs w:val="24"/>
          <w:lang w:val="en-US"/>
        </w:rPr>
        <w:t xml:space="preserve">presents the p-value statistic of the mean difference test for all de covariates, and the percentage of standardized bias. The high score of the p-value allows us to reject the null hypothesis of zero difference between treated and non-treated firms. In addition, the percentage of standardized bias of each covariate is within the threshold of ± 10%. Considering both results, we can affirm that all covariates are well balanced. Hence we can conclude that the matching was successful, and we can measure the average treatment effect on treated (ATT). </w:t>
      </w:r>
    </w:p>
    <w:p w14:paraId="1C4EB355" w14:textId="791C6F4E" w:rsidR="00F927C9" w:rsidRDefault="00F927C9">
      <w:pPr>
        <w:spacing w:after="200"/>
        <w:jc w:val="left"/>
        <w:rPr>
          <w:b/>
          <w:sz w:val="22"/>
          <w:szCs w:val="24"/>
          <w:lang w:val="en-US"/>
        </w:rPr>
      </w:pPr>
      <w:r>
        <w:rPr>
          <w:b/>
          <w:sz w:val="22"/>
          <w:szCs w:val="24"/>
          <w:lang w:val="en-US"/>
        </w:rPr>
        <w:br w:type="page"/>
      </w:r>
    </w:p>
    <w:p w14:paraId="124292EE" w14:textId="09E6DF98" w:rsidR="00D24B99" w:rsidRDefault="00D24B99" w:rsidP="00D24B99">
      <w:pPr>
        <w:spacing w:after="0"/>
        <w:rPr>
          <w:b/>
          <w:sz w:val="22"/>
          <w:szCs w:val="24"/>
          <w:lang w:val="en-US"/>
        </w:rPr>
      </w:pPr>
      <w:bookmarkStart w:id="0" w:name="_GoBack"/>
      <w:bookmarkEnd w:id="0"/>
      <w:r w:rsidRPr="006F2141">
        <w:rPr>
          <w:b/>
          <w:sz w:val="22"/>
          <w:szCs w:val="24"/>
          <w:lang w:val="en-US"/>
        </w:rPr>
        <w:lastRenderedPageBreak/>
        <w:t xml:space="preserve">Table </w:t>
      </w:r>
      <w:r w:rsidR="008A5F8D">
        <w:rPr>
          <w:b/>
          <w:sz w:val="22"/>
          <w:szCs w:val="24"/>
          <w:lang w:val="en-US"/>
        </w:rPr>
        <w:t>5</w:t>
      </w:r>
      <w:r w:rsidRPr="006F2141">
        <w:rPr>
          <w:b/>
          <w:sz w:val="22"/>
          <w:szCs w:val="24"/>
          <w:lang w:val="en-US"/>
        </w:rPr>
        <w:t>. Quality of balance: p-values of mean test and % of standardized bias</w:t>
      </w:r>
    </w:p>
    <w:p w14:paraId="47F6E45A" w14:textId="77777777" w:rsidR="0029784D" w:rsidRDefault="0029784D" w:rsidP="00D24B99">
      <w:pPr>
        <w:spacing w:after="0"/>
        <w:rPr>
          <w:b/>
          <w:sz w:val="22"/>
          <w:szCs w:val="24"/>
          <w:lang w:val="en-US"/>
        </w:rPr>
      </w:pPr>
    </w:p>
    <w:tbl>
      <w:tblPr>
        <w:tblW w:w="7429" w:type="dxa"/>
        <w:tblCellMar>
          <w:left w:w="70" w:type="dxa"/>
          <w:right w:w="70" w:type="dxa"/>
        </w:tblCellMar>
        <w:tblLook w:val="04A0" w:firstRow="1" w:lastRow="0" w:firstColumn="1" w:lastColumn="0" w:noHBand="0" w:noVBand="1"/>
      </w:tblPr>
      <w:tblGrid>
        <w:gridCol w:w="2127"/>
        <w:gridCol w:w="1417"/>
        <w:gridCol w:w="778"/>
        <w:gridCol w:w="1348"/>
        <w:gridCol w:w="559"/>
        <w:gridCol w:w="1200"/>
      </w:tblGrid>
      <w:tr w:rsidR="0029784D" w:rsidRPr="0029784D" w14:paraId="143A5A8B" w14:textId="77777777" w:rsidTr="00F927C9">
        <w:trPr>
          <w:trHeight w:val="290"/>
        </w:trPr>
        <w:tc>
          <w:tcPr>
            <w:tcW w:w="2127" w:type="dxa"/>
            <w:vMerge w:val="restart"/>
            <w:tcBorders>
              <w:top w:val="single" w:sz="8" w:space="0" w:color="auto"/>
              <w:left w:val="nil"/>
              <w:bottom w:val="single" w:sz="8" w:space="0" w:color="000000"/>
              <w:right w:val="nil"/>
            </w:tcBorders>
            <w:shd w:val="clear" w:color="auto" w:fill="auto"/>
            <w:noWrap/>
            <w:vAlign w:val="center"/>
            <w:hideMark/>
          </w:tcPr>
          <w:p w14:paraId="158C3FC1" w14:textId="77777777" w:rsidR="0029784D" w:rsidRPr="0029784D" w:rsidRDefault="0029784D" w:rsidP="0029784D">
            <w:pPr>
              <w:spacing w:after="0" w:line="240" w:lineRule="auto"/>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Covariate</w:t>
            </w:r>
          </w:p>
        </w:tc>
        <w:tc>
          <w:tcPr>
            <w:tcW w:w="2195" w:type="dxa"/>
            <w:gridSpan w:val="2"/>
            <w:tcBorders>
              <w:top w:val="single" w:sz="8" w:space="0" w:color="auto"/>
              <w:left w:val="nil"/>
              <w:bottom w:val="nil"/>
              <w:right w:val="nil"/>
            </w:tcBorders>
            <w:shd w:val="clear" w:color="auto" w:fill="auto"/>
            <w:noWrap/>
            <w:vAlign w:val="center"/>
            <w:hideMark/>
          </w:tcPr>
          <w:p w14:paraId="40769805"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Mean</w:t>
            </w:r>
          </w:p>
        </w:tc>
        <w:tc>
          <w:tcPr>
            <w:tcW w:w="1907" w:type="dxa"/>
            <w:gridSpan w:val="2"/>
            <w:tcBorders>
              <w:top w:val="single" w:sz="8" w:space="0" w:color="auto"/>
              <w:left w:val="nil"/>
              <w:bottom w:val="nil"/>
              <w:right w:val="nil"/>
            </w:tcBorders>
            <w:shd w:val="clear" w:color="auto" w:fill="auto"/>
            <w:noWrap/>
            <w:vAlign w:val="center"/>
            <w:hideMark/>
          </w:tcPr>
          <w:p w14:paraId="20B2C78B"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t-test</w:t>
            </w:r>
          </w:p>
        </w:tc>
        <w:tc>
          <w:tcPr>
            <w:tcW w:w="1200" w:type="dxa"/>
            <w:vMerge w:val="restart"/>
            <w:tcBorders>
              <w:top w:val="single" w:sz="8" w:space="0" w:color="auto"/>
              <w:left w:val="nil"/>
              <w:bottom w:val="single" w:sz="8" w:space="0" w:color="000000"/>
              <w:right w:val="nil"/>
            </w:tcBorders>
            <w:shd w:val="clear" w:color="auto" w:fill="auto"/>
            <w:noWrap/>
            <w:vAlign w:val="center"/>
            <w:hideMark/>
          </w:tcPr>
          <w:p w14:paraId="059DDD2A"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 of std. bias</w:t>
            </w:r>
          </w:p>
        </w:tc>
      </w:tr>
      <w:tr w:rsidR="0029784D" w:rsidRPr="0029784D" w14:paraId="6DC6734E" w14:textId="77777777" w:rsidTr="00F927C9">
        <w:trPr>
          <w:trHeight w:val="300"/>
        </w:trPr>
        <w:tc>
          <w:tcPr>
            <w:tcW w:w="2127" w:type="dxa"/>
            <w:vMerge/>
            <w:tcBorders>
              <w:top w:val="single" w:sz="8" w:space="0" w:color="auto"/>
              <w:left w:val="nil"/>
              <w:bottom w:val="single" w:sz="8" w:space="0" w:color="000000"/>
              <w:right w:val="nil"/>
            </w:tcBorders>
            <w:vAlign w:val="center"/>
            <w:hideMark/>
          </w:tcPr>
          <w:p w14:paraId="1DB04883" w14:textId="77777777" w:rsidR="0029784D" w:rsidRPr="0029784D" w:rsidRDefault="0029784D" w:rsidP="0029784D">
            <w:pPr>
              <w:spacing w:after="0" w:line="240" w:lineRule="auto"/>
              <w:jc w:val="left"/>
              <w:rPr>
                <w:rFonts w:eastAsia="Times New Roman" w:cs="Times New Roman"/>
                <w:b/>
                <w:bCs/>
                <w:color w:val="000000"/>
                <w:sz w:val="20"/>
                <w:szCs w:val="20"/>
                <w:lang w:eastAsia="es-AR"/>
              </w:rPr>
            </w:pPr>
          </w:p>
        </w:tc>
        <w:tc>
          <w:tcPr>
            <w:tcW w:w="1417" w:type="dxa"/>
            <w:tcBorders>
              <w:top w:val="nil"/>
              <w:left w:val="nil"/>
              <w:bottom w:val="single" w:sz="8" w:space="0" w:color="auto"/>
              <w:right w:val="nil"/>
            </w:tcBorders>
            <w:shd w:val="clear" w:color="auto" w:fill="auto"/>
            <w:noWrap/>
            <w:vAlign w:val="center"/>
            <w:hideMark/>
          </w:tcPr>
          <w:p w14:paraId="0EDA7E0B"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Treated</w:t>
            </w:r>
          </w:p>
        </w:tc>
        <w:tc>
          <w:tcPr>
            <w:tcW w:w="778" w:type="dxa"/>
            <w:tcBorders>
              <w:top w:val="nil"/>
              <w:left w:val="nil"/>
              <w:bottom w:val="single" w:sz="8" w:space="0" w:color="auto"/>
              <w:right w:val="nil"/>
            </w:tcBorders>
            <w:shd w:val="clear" w:color="auto" w:fill="auto"/>
            <w:noWrap/>
            <w:vAlign w:val="center"/>
            <w:hideMark/>
          </w:tcPr>
          <w:p w14:paraId="6F22252A"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Control</w:t>
            </w:r>
          </w:p>
        </w:tc>
        <w:tc>
          <w:tcPr>
            <w:tcW w:w="1348" w:type="dxa"/>
            <w:tcBorders>
              <w:top w:val="nil"/>
              <w:left w:val="nil"/>
              <w:bottom w:val="single" w:sz="8" w:space="0" w:color="auto"/>
              <w:right w:val="nil"/>
            </w:tcBorders>
            <w:shd w:val="clear" w:color="auto" w:fill="auto"/>
            <w:noWrap/>
            <w:vAlign w:val="center"/>
            <w:hideMark/>
          </w:tcPr>
          <w:p w14:paraId="0BF8ACCE"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t</w:t>
            </w:r>
          </w:p>
        </w:tc>
        <w:tc>
          <w:tcPr>
            <w:tcW w:w="559" w:type="dxa"/>
            <w:tcBorders>
              <w:top w:val="nil"/>
              <w:left w:val="nil"/>
              <w:bottom w:val="single" w:sz="8" w:space="0" w:color="auto"/>
              <w:right w:val="nil"/>
            </w:tcBorders>
            <w:shd w:val="clear" w:color="auto" w:fill="auto"/>
            <w:noWrap/>
            <w:vAlign w:val="center"/>
            <w:hideMark/>
          </w:tcPr>
          <w:p w14:paraId="5E0A07B7" w14:textId="77777777" w:rsidR="0029784D" w:rsidRPr="0029784D" w:rsidRDefault="0029784D" w:rsidP="0029784D">
            <w:pPr>
              <w:spacing w:after="0" w:line="240" w:lineRule="auto"/>
              <w:jc w:val="center"/>
              <w:rPr>
                <w:rFonts w:eastAsia="Times New Roman" w:cs="Times New Roman"/>
                <w:b/>
                <w:bCs/>
                <w:color w:val="000000"/>
                <w:sz w:val="20"/>
                <w:szCs w:val="20"/>
                <w:lang w:eastAsia="es-AR"/>
              </w:rPr>
            </w:pPr>
            <w:r w:rsidRPr="0029784D">
              <w:rPr>
                <w:rFonts w:eastAsia="Times New Roman" w:cs="Times New Roman"/>
                <w:b/>
                <w:bCs/>
                <w:color w:val="000000"/>
                <w:sz w:val="20"/>
                <w:szCs w:val="20"/>
                <w:lang w:val="en-GB" w:eastAsia="es-AR"/>
              </w:rPr>
              <w:t>p&gt;t</w:t>
            </w:r>
          </w:p>
        </w:tc>
        <w:tc>
          <w:tcPr>
            <w:tcW w:w="1200" w:type="dxa"/>
            <w:vMerge/>
            <w:tcBorders>
              <w:top w:val="single" w:sz="8" w:space="0" w:color="auto"/>
              <w:left w:val="nil"/>
              <w:bottom w:val="single" w:sz="8" w:space="0" w:color="000000"/>
              <w:right w:val="nil"/>
            </w:tcBorders>
            <w:vAlign w:val="center"/>
            <w:hideMark/>
          </w:tcPr>
          <w:p w14:paraId="41D6F01D" w14:textId="77777777" w:rsidR="0029784D" w:rsidRPr="0029784D" w:rsidRDefault="0029784D" w:rsidP="0029784D">
            <w:pPr>
              <w:spacing w:after="0" w:line="240" w:lineRule="auto"/>
              <w:jc w:val="left"/>
              <w:rPr>
                <w:rFonts w:eastAsia="Times New Roman" w:cs="Times New Roman"/>
                <w:b/>
                <w:bCs/>
                <w:color w:val="000000"/>
                <w:sz w:val="20"/>
                <w:szCs w:val="20"/>
                <w:lang w:eastAsia="es-AR"/>
              </w:rPr>
            </w:pPr>
          </w:p>
        </w:tc>
      </w:tr>
      <w:tr w:rsidR="0029784D" w:rsidRPr="0029784D" w14:paraId="4A96330D" w14:textId="77777777" w:rsidTr="00F927C9">
        <w:trPr>
          <w:trHeight w:val="290"/>
        </w:trPr>
        <w:tc>
          <w:tcPr>
            <w:tcW w:w="2127" w:type="dxa"/>
            <w:tcBorders>
              <w:top w:val="nil"/>
              <w:left w:val="nil"/>
              <w:bottom w:val="nil"/>
              <w:right w:val="nil"/>
            </w:tcBorders>
            <w:shd w:val="clear" w:color="auto" w:fill="auto"/>
            <w:noWrap/>
            <w:vAlign w:val="center"/>
            <w:hideMark/>
          </w:tcPr>
          <w:p w14:paraId="71427151" w14:textId="77777777" w:rsidR="0029784D" w:rsidRPr="0029784D" w:rsidRDefault="0029784D" w:rsidP="0029784D">
            <w:pPr>
              <w:spacing w:after="0" w:line="240" w:lineRule="auto"/>
              <w:rPr>
                <w:rFonts w:eastAsia="Times New Roman" w:cs="Times New Roman"/>
                <w:color w:val="000000"/>
                <w:sz w:val="20"/>
                <w:szCs w:val="20"/>
                <w:lang w:eastAsia="es-AR"/>
              </w:rPr>
            </w:pPr>
            <w:r w:rsidRPr="0029784D">
              <w:rPr>
                <w:rFonts w:eastAsia="Times New Roman" w:cs="Times New Roman"/>
                <w:color w:val="000000"/>
                <w:sz w:val="20"/>
                <w:szCs w:val="20"/>
                <w:lang w:eastAsia="es-AR"/>
              </w:rPr>
              <w:t>sector</w:t>
            </w:r>
          </w:p>
        </w:tc>
        <w:tc>
          <w:tcPr>
            <w:tcW w:w="1417" w:type="dxa"/>
            <w:tcBorders>
              <w:top w:val="nil"/>
              <w:left w:val="nil"/>
              <w:bottom w:val="nil"/>
              <w:right w:val="nil"/>
            </w:tcBorders>
            <w:shd w:val="clear" w:color="auto" w:fill="auto"/>
            <w:noWrap/>
            <w:vAlign w:val="center"/>
            <w:hideMark/>
          </w:tcPr>
          <w:p w14:paraId="1D02258B"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31.755</w:t>
            </w:r>
          </w:p>
        </w:tc>
        <w:tc>
          <w:tcPr>
            <w:tcW w:w="778" w:type="dxa"/>
            <w:tcBorders>
              <w:top w:val="nil"/>
              <w:left w:val="nil"/>
              <w:bottom w:val="nil"/>
              <w:right w:val="nil"/>
            </w:tcBorders>
            <w:shd w:val="clear" w:color="auto" w:fill="auto"/>
            <w:noWrap/>
            <w:vAlign w:val="center"/>
            <w:hideMark/>
          </w:tcPr>
          <w:p w14:paraId="7666F55F"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32.339</w:t>
            </w:r>
          </w:p>
        </w:tc>
        <w:tc>
          <w:tcPr>
            <w:tcW w:w="1348" w:type="dxa"/>
            <w:tcBorders>
              <w:top w:val="nil"/>
              <w:left w:val="nil"/>
              <w:bottom w:val="nil"/>
              <w:right w:val="nil"/>
            </w:tcBorders>
            <w:shd w:val="clear" w:color="auto" w:fill="auto"/>
            <w:noWrap/>
            <w:vAlign w:val="center"/>
            <w:hideMark/>
          </w:tcPr>
          <w:p w14:paraId="66E04056"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-0.60</w:t>
            </w:r>
          </w:p>
        </w:tc>
        <w:tc>
          <w:tcPr>
            <w:tcW w:w="559" w:type="dxa"/>
            <w:tcBorders>
              <w:top w:val="nil"/>
              <w:left w:val="nil"/>
              <w:bottom w:val="nil"/>
              <w:right w:val="nil"/>
            </w:tcBorders>
            <w:shd w:val="clear" w:color="auto" w:fill="auto"/>
            <w:noWrap/>
            <w:vAlign w:val="center"/>
            <w:hideMark/>
          </w:tcPr>
          <w:p w14:paraId="441102C7"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0.548</w:t>
            </w:r>
          </w:p>
        </w:tc>
        <w:tc>
          <w:tcPr>
            <w:tcW w:w="1200" w:type="dxa"/>
            <w:tcBorders>
              <w:top w:val="nil"/>
              <w:left w:val="nil"/>
              <w:bottom w:val="nil"/>
              <w:right w:val="nil"/>
            </w:tcBorders>
            <w:shd w:val="clear" w:color="auto" w:fill="auto"/>
            <w:noWrap/>
            <w:vAlign w:val="center"/>
            <w:hideMark/>
          </w:tcPr>
          <w:p w14:paraId="5BA45678"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-3.1</w:t>
            </w:r>
          </w:p>
        </w:tc>
      </w:tr>
      <w:tr w:rsidR="0029784D" w:rsidRPr="0029784D" w14:paraId="0936EB6F" w14:textId="77777777" w:rsidTr="00F927C9">
        <w:trPr>
          <w:trHeight w:val="290"/>
        </w:trPr>
        <w:tc>
          <w:tcPr>
            <w:tcW w:w="2127" w:type="dxa"/>
            <w:tcBorders>
              <w:top w:val="nil"/>
              <w:left w:val="nil"/>
              <w:bottom w:val="nil"/>
              <w:right w:val="nil"/>
            </w:tcBorders>
            <w:shd w:val="clear" w:color="auto" w:fill="auto"/>
            <w:noWrap/>
            <w:vAlign w:val="center"/>
            <w:hideMark/>
          </w:tcPr>
          <w:p w14:paraId="7F31646B" w14:textId="77777777" w:rsidR="0029784D" w:rsidRPr="0029784D" w:rsidRDefault="0029784D" w:rsidP="0029784D">
            <w:pPr>
              <w:spacing w:after="0" w:line="240" w:lineRule="auto"/>
              <w:rPr>
                <w:rFonts w:eastAsia="Times New Roman" w:cs="Times New Roman"/>
                <w:color w:val="000000"/>
                <w:sz w:val="20"/>
                <w:szCs w:val="20"/>
                <w:lang w:eastAsia="es-AR"/>
              </w:rPr>
            </w:pPr>
            <w:r w:rsidRPr="0029784D">
              <w:rPr>
                <w:rFonts w:eastAsia="Times New Roman" w:cs="Times New Roman"/>
                <w:color w:val="000000"/>
                <w:sz w:val="20"/>
                <w:szCs w:val="20"/>
                <w:lang w:eastAsia="es-AR"/>
              </w:rPr>
              <w:t>Rate_emp0307</w:t>
            </w:r>
          </w:p>
        </w:tc>
        <w:tc>
          <w:tcPr>
            <w:tcW w:w="1417" w:type="dxa"/>
            <w:tcBorders>
              <w:top w:val="nil"/>
              <w:left w:val="nil"/>
              <w:bottom w:val="nil"/>
              <w:right w:val="nil"/>
            </w:tcBorders>
            <w:shd w:val="clear" w:color="auto" w:fill="auto"/>
            <w:noWrap/>
            <w:vAlign w:val="center"/>
            <w:hideMark/>
          </w:tcPr>
          <w:p w14:paraId="24E64FE3"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.14458</w:t>
            </w:r>
          </w:p>
        </w:tc>
        <w:tc>
          <w:tcPr>
            <w:tcW w:w="778" w:type="dxa"/>
            <w:tcBorders>
              <w:top w:val="nil"/>
              <w:left w:val="nil"/>
              <w:bottom w:val="nil"/>
              <w:right w:val="nil"/>
            </w:tcBorders>
            <w:shd w:val="clear" w:color="auto" w:fill="auto"/>
            <w:noWrap/>
            <w:vAlign w:val="center"/>
            <w:hideMark/>
          </w:tcPr>
          <w:p w14:paraId="32938A69"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.15019</w:t>
            </w:r>
          </w:p>
        </w:tc>
        <w:tc>
          <w:tcPr>
            <w:tcW w:w="1348" w:type="dxa"/>
            <w:tcBorders>
              <w:top w:val="nil"/>
              <w:left w:val="nil"/>
              <w:bottom w:val="nil"/>
              <w:right w:val="nil"/>
            </w:tcBorders>
            <w:shd w:val="clear" w:color="auto" w:fill="auto"/>
            <w:noWrap/>
            <w:vAlign w:val="center"/>
            <w:hideMark/>
          </w:tcPr>
          <w:p w14:paraId="6131BAE7"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-0.56</w:t>
            </w:r>
          </w:p>
        </w:tc>
        <w:tc>
          <w:tcPr>
            <w:tcW w:w="559" w:type="dxa"/>
            <w:tcBorders>
              <w:top w:val="nil"/>
              <w:left w:val="nil"/>
              <w:bottom w:val="nil"/>
              <w:right w:val="nil"/>
            </w:tcBorders>
            <w:shd w:val="clear" w:color="auto" w:fill="auto"/>
            <w:noWrap/>
            <w:vAlign w:val="center"/>
            <w:hideMark/>
          </w:tcPr>
          <w:p w14:paraId="4BDC2B2D"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0.576</w:t>
            </w:r>
          </w:p>
        </w:tc>
        <w:tc>
          <w:tcPr>
            <w:tcW w:w="1200" w:type="dxa"/>
            <w:tcBorders>
              <w:top w:val="nil"/>
              <w:left w:val="nil"/>
              <w:bottom w:val="nil"/>
              <w:right w:val="nil"/>
            </w:tcBorders>
            <w:shd w:val="clear" w:color="auto" w:fill="auto"/>
            <w:noWrap/>
            <w:vAlign w:val="center"/>
            <w:hideMark/>
          </w:tcPr>
          <w:p w14:paraId="58712F78"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-0.3</w:t>
            </w:r>
          </w:p>
        </w:tc>
      </w:tr>
      <w:tr w:rsidR="0029784D" w:rsidRPr="0029784D" w14:paraId="4624442D" w14:textId="77777777" w:rsidTr="00F927C9">
        <w:trPr>
          <w:trHeight w:val="290"/>
        </w:trPr>
        <w:tc>
          <w:tcPr>
            <w:tcW w:w="2127" w:type="dxa"/>
            <w:tcBorders>
              <w:top w:val="nil"/>
              <w:left w:val="nil"/>
              <w:bottom w:val="nil"/>
              <w:right w:val="nil"/>
            </w:tcBorders>
            <w:shd w:val="clear" w:color="auto" w:fill="auto"/>
            <w:noWrap/>
            <w:vAlign w:val="center"/>
            <w:hideMark/>
          </w:tcPr>
          <w:p w14:paraId="1AF2B6D3" w14:textId="77777777" w:rsidR="0029784D" w:rsidRPr="0029784D" w:rsidRDefault="0029784D" w:rsidP="0029784D">
            <w:pPr>
              <w:spacing w:after="0" w:line="240" w:lineRule="auto"/>
              <w:rPr>
                <w:rFonts w:eastAsia="Times New Roman" w:cs="Times New Roman"/>
                <w:color w:val="000000"/>
                <w:sz w:val="20"/>
                <w:szCs w:val="20"/>
                <w:lang w:eastAsia="es-AR"/>
              </w:rPr>
            </w:pPr>
            <w:r w:rsidRPr="0029784D">
              <w:rPr>
                <w:rFonts w:eastAsia="Times New Roman" w:cs="Times New Roman"/>
                <w:color w:val="000000"/>
                <w:sz w:val="20"/>
                <w:szCs w:val="20"/>
                <w:lang w:eastAsia="es-AR"/>
              </w:rPr>
              <w:t>Rate_wage0307</w:t>
            </w:r>
          </w:p>
        </w:tc>
        <w:tc>
          <w:tcPr>
            <w:tcW w:w="1417" w:type="dxa"/>
            <w:tcBorders>
              <w:top w:val="nil"/>
              <w:left w:val="nil"/>
              <w:bottom w:val="nil"/>
              <w:right w:val="nil"/>
            </w:tcBorders>
            <w:shd w:val="clear" w:color="auto" w:fill="auto"/>
            <w:noWrap/>
            <w:vAlign w:val="center"/>
            <w:hideMark/>
          </w:tcPr>
          <w:p w14:paraId="6C5C8AA6"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.24585</w:t>
            </w:r>
          </w:p>
        </w:tc>
        <w:tc>
          <w:tcPr>
            <w:tcW w:w="778" w:type="dxa"/>
            <w:tcBorders>
              <w:top w:val="nil"/>
              <w:left w:val="nil"/>
              <w:bottom w:val="nil"/>
              <w:right w:val="nil"/>
            </w:tcBorders>
            <w:shd w:val="clear" w:color="auto" w:fill="auto"/>
            <w:noWrap/>
            <w:vAlign w:val="center"/>
            <w:hideMark/>
          </w:tcPr>
          <w:p w14:paraId="354005E1"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.24236</w:t>
            </w:r>
          </w:p>
        </w:tc>
        <w:tc>
          <w:tcPr>
            <w:tcW w:w="1348" w:type="dxa"/>
            <w:tcBorders>
              <w:top w:val="nil"/>
              <w:left w:val="nil"/>
              <w:bottom w:val="nil"/>
              <w:right w:val="nil"/>
            </w:tcBorders>
            <w:shd w:val="clear" w:color="auto" w:fill="auto"/>
            <w:noWrap/>
            <w:vAlign w:val="center"/>
            <w:hideMark/>
          </w:tcPr>
          <w:p w14:paraId="742E6113"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0.73</w:t>
            </w:r>
          </w:p>
        </w:tc>
        <w:tc>
          <w:tcPr>
            <w:tcW w:w="559" w:type="dxa"/>
            <w:tcBorders>
              <w:top w:val="nil"/>
              <w:left w:val="nil"/>
              <w:bottom w:val="nil"/>
              <w:right w:val="nil"/>
            </w:tcBorders>
            <w:shd w:val="clear" w:color="auto" w:fill="auto"/>
            <w:noWrap/>
            <w:vAlign w:val="center"/>
            <w:hideMark/>
          </w:tcPr>
          <w:p w14:paraId="324F1C06"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0.468</w:t>
            </w:r>
          </w:p>
        </w:tc>
        <w:tc>
          <w:tcPr>
            <w:tcW w:w="1200" w:type="dxa"/>
            <w:tcBorders>
              <w:top w:val="nil"/>
              <w:left w:val="nil"/>
              <w:bottom w:val="nil"/>
              <w:right w:val="nil"/>
            </w:tcBorders>
            <w:shd w:val="clear" w:color="auto" w:fill="auto"/>
            <w:noWrap/>
            <w:vAlign w:val="center"/>
            <w:hideMark/>
          </w:tcPr>
          <w:p w14:paraId="1FF2F16A"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3.2</w:t>
            </w:r>
          </w:p>
        </w:tc>
      </w:tr>
      <w:tr w:rsidR="0029784D" w:rsidRPr="0029784D" w14:paraId="031F5D38" w14:textId="77777777" w:rsidTr="00F927C9">
        <w:trPr>
          <w:trHeight w:val="290"/>
        </w:trPr>
        <w:tc>
          <w:tcPr>
            <w:tcW w:w="2127" w:type="dxa"/>
            <w:tcBorders>
              <w:top w:val="nil"/>
              <w:left w:val="nil"/>
              <w:bottom w:val="nil"/>
              <w:right w:val="nil"/>
            </w:tcBorders>
            <w:shd w:val="clear" w:color="auto" w:fill="auto"/>
            <w:noWrap/>
            <w:vAlign w:val="center"/>
            <w:hideMark/>
          </w:tcPr>
          <w:p w14:paraId="785855ED" w14:textId="77777777" w:rsidR="0029784D" w:rsidRPr="0029784D" w:rsidRDefault="0029784D" w:rsidP="0029784D">
            <w:pPr>
              <w:spacing w:after="0" w:line="240" w:lineRule="auto"/>
              <w:rPr>
                <w:rFonts w:eastAsia="Times New Roman" w:cs="Times New Roman"/>
                <w:color w:val="000000"/>
                <w:sz w:val="20"/>
                <w:szCs w:val="20"/>
                <w:lang w:eastAsia="es-AR"/>
              </w:rPr>
            </w:pPr>
            <w:proofErr w:type="spellStart"/>
            <w:r w:rsidRPr="0029784D">
              <w:rPr>
                <w:rFonts w:eastAsia="Times New Roman" w:cs="Times New Roman"/>
                <w:color w:val="000000"/>
                <w:sz w:val="20"/>
                <w:szCs w:val="20"/>
                <w:lang w:eastAsia="es-AR"/>
              </w:rPr>
              <w:t>Innovation</w:t>
            </w:r>
            <w:proofErr w:type="spellEnd"/>
          </w:p>
        </w:tc>
        <w:tc>
          <w:tcPr>
            <w:tcW w:w="1417" w:type="dxa"/>
            <w:tcBorders>
              <w:top w:val="nil"/>
              <w:left w:val="nil"/>
              <w:bottom w:val="nil"/>
              <w:right w:val="nil"/>
            </w:tcBorders>
            <w:shd w:val="clear" w:color="auto" w:fill="auto"/>
            <w:noWrap/>
            <w:vAlign w:val="center"/>
            <w:hideMark/>
          </w:tcPr>
          <w:p w14:paraId="6FE54E4B"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.59356</w:t>
            </w:r>
          </w:p>
        </w:tc>
        <w:tc>
          <w:tcPr>
            <w:tcW w:w="778" w:type="dxa"/>
            <w:tcBorders>
              <w:top w:val="nil"/>
              <w:left w:val="nil"/>
              <w:bottom w:val="nil"/>
              <w:right w:val="nil"/>
            </w:tcBorders>
            <w:shd w:val="clear" w:color="auto" w:fill="auto"/>
            <w:noWrap/>
            <w:vAlign w:val="center"/>
            <w:hideMark/>
          </w:tcPr>
          <w:p w14:paraId="4AF99459"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.58101</w:t>
            </w:r>
          </w:p>
        </w:tc>
        <w:tc>
          <w:tcPr>
            <w:tcW w:w="1348" w:type="dxa"/>
            <w:tcBorders>
              <w:top w:val="nil"/>
              <w:left w:val="nil"/>
              <w:bottom w:val="nil"/>
              <w:right w:val="nil"/>
            </w:tcBorders>
            <w:shd w:val="clear" w:color="auto" w:fill="auto"/>
            <w:noWrap/>
            <w:vAlign w:val="center"/>
            <w:hideMark/>
          </w:tcPr>
          <w:p w14:paraId="63BCF2F8"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0.51</w:t>
            </w:r>
          </w:p>
        </w:tc>
        <w:tc>
          <w:tcPr>
            <w:tcW w:w="559" w:type="dxa"/>
            <w:tcBorders>
              <w:top w:val="nil"/>
              <w:left w:val="nil"/>
              <w:bottom w:val="nil"/>
              <w:right w:val="nil"/>
            </w:tcBorders>
            <w:shd w:val="clear" w:color="auto" w:fill="auto"/>
            <w:noWrap/>
            <w:vAlign w:val="center"/>
            <w:hideMark/>
          </w:tcPr>
          <w:p w14:paraId="62C20FB9"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0.609</w:t>
            </w:r>
          </w:p>
        </w:tc>
        <w:tc>
          <w:tcPr>
            <w:tcW w:w="1200" w:type="dxa"/>
            <w:tcBorders>
              <w:top w:val="nil"/>
              <w:left w:val="nil"/>
              <w:bottom w:val="nil"/>
              <w:right w:val="nil"/>
            </w:tcBorders>
            <w:shd w:val="clear" w:color="auto" w:fill="auto"/>
            <w:noWrap/>
            <w:vAlign w:val="center"/>
            <w:hideMark/>
          </w:tcPr>
          <w:p w14:paraId="49E2212B"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2.7</w:t>
            </w:r>
          </w:p>
        </w:tc>
      </w:tr>
      <w:tr w:rsidR="0029784D" w:rsidRPr="0029784D" w14:paraId="0EB5EB12" w14:textId="77777777" w:rsidTr="00F927C9">
        <w:trPr>
          <w:trHeight w:val="300"/>
        </w:trPr>
        <w:tc>
          <w:tcPr>
            <w:tcW w:w="2127" w:type="dxa"/>
            <w:tcBorders>
              <w:top w:val="nil"/>
              <w:left w:val="nil"/>
              <w:bottom w:val="single" w:sz="8" w:space="0" w:color="auto"/>
              <w:right w:val="nil"/>
            </w:tcBorders>
            <w:shd w:val="clear" w:color="auto" w:fill="auto"/>
            <w:noWrap/>
            <w:vAlign w:val="center"/>
            <w:hideMark/>
          </w:tcPr>
          <w:p w14:paraId="6547E4B7" w14:textId="77777777" w:rsidR="0029784D" w:rsidRPr="0029784D" w:rsidRDefault="0029784D" w:rsidP="0029784D">
            <w:pPr>
              <w:spacing w:after="0" w:line="240" w:lineRule="auto"/>
              <w:rPr>
                <w:rFonts w:eastAsia="Times New Roman" w:cs="Times New Roman"/>
                <w:color w:val="000000"/>
                <w:sz w:val="20"/>
                <w:szCs w:val="20"/>
                <w:lang w:eastAsia="es-AR"/>
              </w:rPr>
            </w:pPr>
            <w:proofErr w:type="spellStart"/>
            <w:r w:rsidRPr="0029784D">
              <w:rPr>
                <w:rFonts w:eastAsia="Times New Roman" w:cs="Times New Roman"/>
                <w:color w:val="000000"/>
                <w:sz w:val="20"/>
                <w:szCs w:val="20"/>
                <w:lang w:eastAsia="es-AR"/>
              </w:rPr>
              <w:t>Age</w:t>
            </w:r>
            <w:proofErr w:type="spellEnd"/>
          </w:p>
        </w:tc>
        <w:tc>
          <w:tcPr>
            <w:tcW w:w="1417" w:type="dxa"/>
            <w:tcBorders>
              <w:top w:val="nil"/>
              <w:left w:val="nil"/>
              <w:bottom w:val="single" w:sz="8" w:space="0" w:color="auto"/>
              <w:right w:val="nil"/>
            </w:tcBorders>
            <w:shd w:val="clear" w:color="auto" w:fill="auto"/>
            <w:noWrap/>
            <w:vAlign w:val="center"/>
            <w:hideMark/>
          </w:tcPr>
          <w:p w14:paraId="121E233E"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1985.3</w:t>
            </w:r>
          </w:p>
        </w:tc>
        <w:tc>
          <w:tcPr>
            <w:tcW w:w="778" w:type="dxa"/>
            <w:tcBorders>
              <w:top w:val="nil"/>
              <w:left w:val="nil"/>
              <w:bottom w:val="single" w:sz="8" w:space="0" w:color="auto"/>
              <w:right w:val="nil"/>
            </w:tcBorders>
            <w:shd w:val="clear" w:color="auto" w:fill="auto"/>
            <w:noWrap/>
            <w:vAlign w:val="center"/>
            <w:hideMark/>
          </w:tcPr>
          <w:p w14:paraId="293AB513"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1985.2</w:t>
            </w:r>
          </w:p>
        </w:tc>
        <w:tc>
          <w:tcPr>
            <w:tcW w:w="1348" w:type="dxa"/>
            <w:tcBorders>
              <w:top w:val="nil"/>
              <w:left w:val="nil"/>
              <w:bottom w:val="single" w:sz="8" w:space="0" w:color="auto"/>
              <w:right w:val="nil"/>
            </w:tcBorders>
            <w:shd w:val="clear" w:color="auto" w:fill="auto"/>
            <w:noWrap/>
            <w:vAlign w:val="center"/>
            <w:hideMark/>
          </w:tcPr>
          <w:p w14:paraId="4C41728B"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0.14</w:t>
            </w:r>
          </w:p>
        </w:tc>
        <w:tc>
          <w:tcPr>
            <w:tcW w:w="559" w:type="dxa"/>
            <w:tcBorders>
              <w:top w:val="nil"/>
              <w:left w:val="nil"/>
              <w:bottom w:val="single" w:sz="8" w:space="0" w:color="auto"/>
              <w:right w:val="nil"/>
            </w:tcBorders>
            <w:shd w:val="clear" w:color="auto" w:fill="auto"/>
            <w:noWrap/>
            <w:vAlign w:val="center"/>
            <w:hideMark/>
          </w:tcPr>
          <w:p w14:paraId="05D413C5"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0.890</w:t>
            </w:r>
          </w:p>
        </w:tc>
        <w:tc>
          <w:tcPr>
            <w:tcW w:w="1200" w:type="dxa"/>
            <w:tcBorders>
              <w:top w:val="nil"/>
              <w:left w:val="nil"/>
              <w:bottom w:val="single" w:sz="8" w:space="0" w:color="auto"/>
              <w:right w:val="nil"/>
            </w:tcBorders>
            <w:shd w:val="clear" w:color="auto" w:fill="auto"/>
            <w:noWrap/>
            <w:vAlign w:val="center"/>
            <w:hideMark/>
          </w:tcPr>
          <w:p w14:paraId="340714CE" w14:textId="77777777" w:rsidR="0029784D" w:rsidRPr="0029784D" w:rsidRDefault="0029784D" w:rsidP="0029784D">
            <w:pPr>
              <w:spacing w:after="0" w:line="240" w:lineRule="auto"/>
              <w:jc w:val="center"/>
              <w:rPr>
                <w:rFonts w:eastAsia="Times New Roman" w:cs="Times New Roman"/>
                <w:color w:val="000000"/>
                <w:sz w:val="20"/>
                <w:szCs w:val="20"/>
                <w:lang w:eastAsia="es-AR"/>
              </w:rPr>
            </w:pPr>
            <w:r w:rsidRPr="0029784D">
              <w:rPr>
                <w:rFonts w:eastAsia="Times New Roman" w:cs="Times New Roman"/>
                <w:color w:val="000000"/>
                <w:sz w:val="20"/>
                <w:szCs w:val="20"/>
                <w:lang w:eastAsia="es-AR"/>
              </w:rPr>
              <w:t>0.7</w:t>
            </w:r>
          </w:p>
        </w:tc>
      </w:tr>
    </w:tbl>
    <w:p w14:paraId="65A3292F" w14:textId="77777777" w:rsidR="0029784D" w:rsidRPr="006F2141" w:rsidRDefault="0029784D" w:rsidP="00D24B99">
      <w:pPr>
        <w:spacing w:after="0"/>
        <w:rPr>
          <w:b/>
          <w:sz w:val="22"/>
          <w:lang w:val="en-US"/>
        </w:rPr>
      </w:pPr>
    </w:p>
    <w:p w14:paraId="56DCB508" w14:textId="77777777" w:rsidR="00D24B99" w:rsidRPr="006F2141" w:rsidRDefault="00D370BD" w:rsidP="006F2141">
      <w:pPr>
        <w:spacing w:after="0"/>
        <w:rPr>
          <w:sz w:val="20"/>
          <w:lang w:val="en-US"/>
        </w:rPr>
      </w:pPr>
      <w:r w:rsidRPr="006F2141">
        <w:rPr>
          <w:sz w:val="20"/>
          <w:lang w:val="en-US"/>
        </w:rPr>
        <w:t xml:space="preserve">Source: Own elaboration base on </w:t>
      </w:r>
      <w:proofErr w:type="spellStart"/>
      <w:r w:rsidRPr="006F2141">
        <w:rPr>
          <w:sz w:val="20"/>
          <w:lang w:val="en-US"/>
        </w:rPr>
        <w:t>Mapa</w:t>
      </w:r>
      <w:proofErr w:type="spellEnd"/>
      <w:r w:rsidRPr="006F2141">
        <w:rPr>
          <w:sz w:val="20"/>
          <w:lang w:val="en-US"/>
        </w:rPr>
        <w:t xml:space="preserve"> </w:t>
      </w:r>
      <w:proofErr w:type="spellStart"/>
      <w:r w:rsidRPr="006F2141">
        <w:rPr>
          <w:sz w:val="20"/>
          <w:lang w:val="en-US"/>
        </w:rPr>
        <w:t>Pyme</w:t>
      </w:r>
      <w:proofErr w:type="spellEnd"/>
      <w:r w:rsidRPr="006F2141">
        <w:rPr>
          <w:sz w:val="20"/>
          <w:lang w:val="en-US"/>
        </w:rPr>
        <w:t xml:space="preserve"> and Ministry of Labor and Social Security</w:t>
      </w:r>
      <w:r w:rsidR="006F2141">
        <w:rPr>
          <w:sz w:val="20"/>
          <w:lang w:val="en-US"/>
        </w:rPr>
        <w:t>.</w:t>
      </w:r>
    </w:p>
    <w:sectPr w:rsidR="00D24B99" w:rsidRPr="006F2141" w:rsidSect="00FD54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22D3" w14:textId="77777777" w:rsidR="00B7373E" w:rsidRDefault="00B7373E" w:rsidP="0081639E">
      <w:pPr>
        <w:spacing w:after="0" w:line="240" w:lineRule="auto"/>
      </w:pPr>
      <w:r>
        <w:separator/>
      </w:r>
    </w:p>
  </w:endnote>
  <w:endnote w:type="continuationSeparator" w:id="0">
    <w:p w14:paraId="54FF8B69" w14:textId="77777777" w:rsidR="00B7373E" w:rsidRDefault="00B7373E" w:rsidP="0081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B685" w14:textId="77777777" w:rsidR="00B7373E" w:rsidRDefault="00B7373E" w:rsidP="0081639E">
      <w:pPr>
        <w:spacing w:after="0" w:line="240" w:lineRule="auto"/>
      </w:pPr>
      <w:r>
        <w:separator/>
      </w:r>
    </w:p>
  </w:footnote>
  <w:footnote w:type="continuationSeparator" w:id="0">
    <w:p w14:paraId="66CDC1A3" w14:textId="77777777" w:rsidR="00B7373E" w:rsidRDefault="00B7373E" w:rsidP="0081639E">
      <w:pPr>
        <w:spacing w:after="0" w:line="240" w:lineRule="auto"/>
      </w:pPr>
      <w:r>
        <w:continuationSeparator/>
      </w:r>
    </w:p>
  </w:footnote>
  <w:footnote w:id="1">
    <w:p w14:paraId="0515C1FE" w14:textId="77777777" w:rsidR="00905195" w:rsidRPr="00414EEA" w:rsidRDefault="00905195" w:rsidP="00414EEA">
      <w:pPr>
        <w:autoSpaceDE w:val="0"/>
        <w:autoSpaceDN w:val="0"/>
        <w:adjustRightInd w:val="0"/>
        <w:spacing w:after="0"/>
        <w:rPr>
          <w:lang w:val="en-US"/>
        </w:rPr>
      </w:pPr>
      <w:r w:rsidRPr="00B362BB">
        <w:rPr>
          <w:rStyle w:val="Refdenotaalpie"/>
          <w:sz w:val="20"/>
          <w:szCs w:val="20"/>
        </w:rPr>
        <w:footnoteRef/>
      </w:r>
      <w:r w:rsidRPr="00414EEA">
        <w:rPr>
          <w:sz w:val="20"/>
          <w:szCs w:val="20"/>
          <w:lang w:val="en-US"/>
        </w:rPr>
        <w:t xml:space="preserve"> Of course, to extrapolate these conclusions to other regions or to generalize the results is not po</w:t>
      </w:r>
      <w:r>
        <w:rPr>
          <w:sz w:val="20"/>
          <w:szCs w:val="20"/>
          <w:lang w:val="en-US"/>
        </w:rPr>
        <w:t>s</w:t>
      </w:r>
      <w:r w:rsidRPr="00414EEA">
        <w:rPr>
          <w:sz w:val="20"/>
          <w:szCs w:val="20"/>
          <w:lang w:val="en-US"/>
        </w:rPr>
        <w:t xml:space="preserve">sible. Differences in the </w:t>
      </w:r>
      <w:r>
        <w:rPr>
          <w:sz w:val="20"/>
          <w:szCs w:val="20"/>
          <w:lang w:val="en-US"/>
        </w:rPr>
        <w:t>institutional set up and regulation</w:t>
      </w:r>
      <w:r w:rsidRPr="00414EEA">
        <w:rPr>
          <w:sz w:val="20"/>
          <w:szCs w:val="20"/>
          <w:lang w:val="en-US"/>
        </w:rPr>
        <w:t xml:space="preserve"> of unions (by sector or by firm), in the labor legislation (tenure compensations, holidays, working hours, etc.), and in the economic context of each country </w:t>
      </w:r>
      <w:r>
        <w:rPr>
          <w:sz w:val="20"/>
          <w:szCs w:val="20"/>
          <w:lang w:val="en-US"/>
        </w:rPr>
        <w:t>make</w:t>
      </w:r>
      <w:r w:rsidRPr="00414EEA">
        <w:rPr>
          <w:sz w:val="20"/>
          <w:szCs w:val="20"/>
          <w:lang w:val="en-US"/>
        </w:rPr>
        <w:t xml:space="preserve"> these and other results difficult</w:t>
      </w:r>
      <w:r>
        <w:rPr>
          <w:sz w:val="20"/>
          <w:szCs w:val="20"/>
          <w:lang w:val="en-US"/>
        </w:rPr>
        <w:t xml:space="preserve"> to be compared. However, evidence leads to sustain that the characteristics of labor institutions affect the productivity-wage gap which implies that they have to be taken into account when analyzing it.</w:t>
      </w:r>
    </w:p>
  </w:footnote>
  <w:footnote w:id="2">
    <w:p w14:paraId="2EBFCED8" w14:textId="77777777" w:rsidR="00905195" w:rsidRPr="006F27F3" w:rsidRDefault="00905195" w:rsidP="006F27F3">
      <w:pPr>
        <w:pStyle w:val="Textonotapie"/>
        <w:rPr>
          <w:b w:val="0"/>
          <w:lang w:val="en-US"/>
        </w:rPr>
      </w:pPr>
      <w:r w:rsidRPr="006F27F3">
        <w:rPr>
          <w:rStyle w:val="Refdenotaalpie"/>
          <w:b w:val="0"/>
        </w:rPr>
        <w:footnoteRef/>
      </w:r>
      <w:r w:rsidRPr="006F27F3">
        <w:rPr>
          <w:b w:val="0"/>
          <w:lang w:val="en-US"/>
        </w:rPr>
        <w:t xml:space="preserve"> </w:t>
      </w:r>
      <w:r w:rsidRPr="006F27F3">
        <w:rPr>
          <w:rFonts w:ascii="Garamond" w:hAnsi="Garamond"/>
          <w:b w:val="0"/>
          <w:lang w:val="en-US"/>
        </w:rPr>
        <w:t xml:space="preserve">Productivity and mean-wage of </w:t>
      </w:r>
      <w:proofErr w:type="spellStart"/>
      <w:r w:rsidRPr="006F27F3">
        <w:rPr>
          <w:rFonts w:ascii="Garamond" w:hAnsi="Garamond"/>
          <w:b w:val="0"/>
          <w:lang w:val="en-US"/>
        </w:rPr>
        <w:t>i</w:t>
      </w:r>
      <w:proofErr w:type="spellEnd"/>
      <w:r w:rsidRPr="006F27F3">
        <w:rPr>
          <w:rFonts w:ascii="Garamond" w:hAnsi="Garamond"/>
          <w:b w:val="0"/>
          <w:lang w:val="en-US"/>
        </w:rPr>
        <w:t>-firm.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E"/>
    <w:rsid w:val="00003546"/>
    <w:rsid w:val="0001314D"/>
    <w:rsid w:val="00013C0F"/>
    <w:rsid w:val="00016AA6"/>
    <w:rsid w:val="00093FF6"/>
    <w:rsid w:val="000B6CBA"/>
    <w:rsid w:val="000C7067"/>
    <w:rsid w:val="000E4FA0"/>
    <w:rsid w:val="00103149"/>
    <w:rsid w:val="001043DC"/>
    <w:rsid w:val="00120938"/>
    <w:rsid w:val="00133F06"/>
    <w:rsid w:val="001717DC"/>
    <w:rsid w:val="00177E73"/>
    <w:rsid w:val="0018012E"/>
    <w:rsid w:val="00195E8E"/>
    <w:rsid w:val="001A32CE"/>
    <w:rsid w:val="001A4045"/>
    <w:rsid w:val="001B45C7"/>
    <w:rsid w:val="001C589F"/>
    <w:rsid w:val="001E006E"/>
    <w:rsid w:val="001E7952"/>
    <w:rsid w:val="002172FC"/>
    <w:rsid w:val="00226207"/>
    <w:rsid w:val="002316A5"/>
    <w:rsid w:val="00245C27"/>
    <w:rsid w:val="002540AE"/>
    <w:rsid w:val="002650A3"/>
    <w:rsid w:val="00267194"/>
    <w:rsid w:val="0027169D"/>
    <w:rsid w:val="002728D1"/>
    <w:rsid w:val="00276AB3"/>
    <w:rsid w:val="002916A8"/>
    <w:rsid w:val="0029784D"/>
    <w:rsid w:val="002C06F5"/>
    <w:rsid w:val="002D7442"/>
    <w:rsid w:val="002E4AFA"/>
    <w:rsid w:val="0032040A"/>
    <w:rsid w:val="003523B0"/>
    <w:rsid w:val="0035797B"/>
    <w:rsid w:val="003769AF"/>
    <w:rsid w:val="00386C92"/>
    <w:rsid w:val="00393344"/>
    <w:rsid w:val="003B3584"/>
    <w:rsid w:val="003C010F"/>
    <w:rsid w:val="003E1B03"/>
    <w:rsid w:val="003F5870"/>
    <w:rsid w:val="00400281"/>
    <w:rsid w:val="0040680C"/>
    <w:rsid w:val="00414031"/>
    <w:rsid w:val="00414EEA"/>
    <w:rsid w:val="00415DBC"/>
    <w:rsid w:val="00470F5F"/>
    <w:rsid w:val="0047336B"/>
    <w:rsid w:val="00476A88"/>
    <w:rsid w:val="00481792"/>
    <w:rsid w:val="00482887"/>
    <w:rsid w:val="00483A0D"/>
    <w:rsid w:val="0049439B"/>
    <w:rsid w:val="004A1B0D"/>
    <w:rsid w:val="004C03FF"/>
    <w:rsid w:val="004C3AB3"/>
    <w:rsid w:val="004D6FD2"/>
    <w:rsid w:val="004F6325"/>
    <w:rsid w:val="00501762"/>
    <w:rsid w:val="00524F3B"/>
    <w:rsid w:val="005324C9"/>
    <w:rsid w:val="005467BE"/>
    <w:rsid w:val="00557280"/>
    <w:rsid w:val="00557850"/>
    <w:rsid w:val="00572B40"/>
    <w:rsid w:val="005858A6"/>
    <w:rsid w:val="00596106"/>
    <w:rsid w:val="005A2C74"/>
    <w:rsid w:val="005C6A42"/>
    <w:rsid w:val="005C7C4E"/>
    <w:rsid w:val="005D4A42"/>
    <w:rsid w:val="006113D3"/>
    <w:rsid w:val="006236B4"/>
    <w:rsid w:val="00626C4C"/>
    <w:rsid w:val="006327BA"/>
    <w:rsid w:val="00644D03"/>
    <w:rsid w:val="006450FE"/>
    <w:rsid w:val="00683D73"/>
    <w:rsid w:val="006F2141"/>
    <w:rsid w:val="006F27F3"/>
    <w:rsid w:val="0071015C"/>
    <w:rsid w:val="00730531"/>
    <w:rsid w:val="00737E86"/>
    <w:rsid w:val="00743109"/>
    <w:rsid w:val="007501B4"/>
    <w:rsid w:val="0075656B"/>
    <w:rsid w:val="007770FE"/>
    <w:rsid w:val="00777A6C"/>
    <w:rsid w:val="0079431B"/>
    <w:rsid w:val="007A311A"/>
    <w:rsid w:val="007A5CFB"/>
    <w:rsid w:val="007C6940"/>
    <w:rsid w:val="007D231D"/>
    <w:rsid w:val="008123CD"/>
    <w:rsid w:val="0081639E"/>
    <w:rsid w:val="00820CE3"/>
    <w:rsid w:val="00832D9F"/>
    <w:rsid w:val="00876CBC"/>
    <w:rsid w:val="00887F76"/>
    <w:rsid w:val="00893C03"/>
    <w:rsid w:val="008A5F8D"/>
    <w:rsid w:val="008B1E10"/>
    <w:rsid w:val="008B4339"/>
    <w:rsid w:val="008D15F9"/>
    <w:rsid w:val="008E43DD"/>
    <w:rsid w:val="00901991"/>
    <w:rsid w:val="00905195"/>
    <w:rsid w:val="00911749"/>
    <w:rsid w:val="00915387"/>
    <w:rsid w:val="00932FFD"/>
    <w:rsid w:val="00933D22"/>
    <w:rsid w:val="00934AE4"/>
    <w:rsid w:val="00936D0C"/>
    <w:rsid w:val="00945039"/>
    <w:rsid w:val="009539A9"/>
    <w:rsid w:val="009654BB"/>
    <w:rsid w:val="00973766"/>
    <w:rsid w:val="0097546F"/>
    <w:rsid w:val="00981C9C"/>
    <w:rsid w:val="00996B35"/>
    <w:rsid w:val="009E40B7"/>
    <w:rsid w:val="009F516F"/>
    <w:rsid w:val="00A02699"/>
    <w:rsid w:val="00A127DD"/>
    <w:rsid w:val="00A211F6"/>
    <w:rsid w:val="00A40D2B"/>
    <w:rsid w:val="00A451AB"/>
    <w:rsid w:val="00A47EF9"/>
    <w:rsid w:val="00A52963"/>
    <w:rsid w:val="00A77AB6"/>
    <w:rsid w:val="00A81071"/>
    <w:rsid w:val="00A81E73"/>
    <w:rsid w:val="00AC48E0"/>
    <w:rsid w:val="00AD3AA9"/>
    <w:rsid w:val="00AD67D0"/>
    <w:rsid w:val="00AF27E0"/>
    <w:rsid w:val="00B03B06"/>
    <w:rsid w:val="00B05E8E"/>
    <w:rsid w:val="00B20F56"/>
    <w:rsid w:val="00B4238E"/>
    <w:rsid w:val="00B47875"/>
    <w:rsid w:val="00B7373E"/>
    <w:rsid w:val="00B923D6"/>
    <w:rsid w:val="00BC71F1"/>
    <w:rsid w:val="00BF24EF"/>
    <w:rsid w:val="00C2354C"/>
    <w:rsid w:val="00C36EBE"/>
    <w:rsid w:val="00C41769"/>
    <w:rsid w:val="00C541DF"/>
    <w:rsid w:val="00C630DF"/>
    <w:rsid w:val="00C6568F"/>
    <w:rsid w:val="00C751F4"/>
    <w:rsid w:val="00CB05B2"/>
    <w:rsid w:val="00CD3D22"/>
    <w:rsid w:val="00D05BEE"/>
    <w:rsid w:val="00D06E10"/>
    <w:rsid w:val="00D24B99"/>
    <w:rsid w:val="00D251C0"/>
    <w:rsid w:val="00D26A48"/>
    <w:rsid w:val="00D309DD"/>
    <w:rsid w:val="00D370BD"/>
    <w:rsid w:val="00D37B2A"/>
    <w:rsid w:val="00D53BE2"/>
    <w:rsid w:val="00D7093D"/>
    <w:rsid w:val="00D810E8"/>
    <w:rsid w:val="00DC42ED"/>
    <w:rsid w:val="00DE5B00"/>
    <w:rsid w:val="00E02AEA"/>
    <w:rsid w:val="00E06620"/>
    <w:rsid w:val="00E27224"/>
    <w:rsid w:val="00E53E2A"/>
    <w:rsid w:val="00E560AE"/>
    <w:rsid w:val="00E56459"/>
    <w:rsid w:val="00E576A8"/>
    <w:rsid w:val="00E6701E"/>
    <w:rsid w:val="00E77BA4"/>
    <w:rsid w:val="00E81A25"/>
    <w:rsid w:val="00E83D4D"/>
    <w:rsid w:val="00EA308A"/>
    <w:rsid w:val="00EC05E1"/>
    <w:rsid w:val="00F0435E"/>
    <w:rsid w:val="00F14F20"/>
    <w:rsid w:val="00F167AA"/>
    <w:rsid w:val="00F268D3"/>
    <w:rsid w:val="00F35D3D"/>
    <w:rsid w:val="00F60818"/>
    <w:rsid w:val="00F641AE"/>
    <w:rsid w:val="00F70D2F"/>
    <w:rsid w:val="00F72426"/>
    <w:rsid w:val="00F80740"/>
    <w:rsid w:val="00F927C9"/>
    <w:rsid w:val="00FB6E2F"/>
    <w:rsid w:val="00FC2F49"/>
    <w:rsid w:val="00FD3A58"/>
    <w:rsid w:val="00FD5452"/>
    <w:rsid w:val="00FE0D68"/>
    <w:rsid w:val="00FF6C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BEE3"/>
  <w15:docId w15:val="{BE40761D-D968-4FCE-A8C7-7D19FE9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E"/>
    <w:pPr>
      <w:spacing w:after="120"/>
      <w:jc w:val="both"/>
    </w:pPr>
    <w:rPr>
      <w:rFonts w:ascii="Garamond" w:hAnsi="Garamond"/>
      <w:sz w:val="24"/>
      <w:szCs w:val="18"/>
    </w:rPr>
  </w:style>
  <w:style w:type="paragraph" w:styleId="Ttulo2">
    <w:name w:val="heading 2"/>
    <w:basedOn w:val="Normal"/>
    <w:next w:val="Normal"/>
    <w:link w:val="Ttulo2Car"/>
    <w:uiPriority w:val="9"/>
    <w:unhideWhenUsed/>
    <w:qFormat/>
    <w:rsid w:val="008163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F2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639E"/>
    <w:rPr>
      <w:rFonts w:asciiTheme="majorHAnsi" w:eastAsiaTheme="majorEastAsia" w:hAnsiTheme="majorHAnsi" w:cstheme="majorBidi"/>
      <w:color w:val="365F91" w:themeColor="accent1" w:themeShade="BF"/>
      <w:sz w:val="26"/>
      <w:szCs w:val="26"/>
    </w:rPr>
  </w:style>
  <w:style w:type="paragraph" w:styleId="Textonotapie">
    <w:name w:val="footnote text"/>
    <w:aliases w:val="Car Car"/>
    <w:basedOn w:val="Normal"/>
    <w:link w:val="TextonotapieCar"/>
    <w:uiPriority w:val="99"/>
    <w:unhideWhenUsed/>
    <w:rsid w:val="0081639E"/>
    <w:pPr>
      <w:spacing w:after="0" w:line="240" w:lineRule="auto"/>
    </w:pPr>
    <w:rPr>
      <w:rFonts w:asciiTheme="minorHAnsi" w:hAnsiTheme="minorHAnsi"/>
      <w:b/>
      <w:bCs/>
      <w:sz w:val="20"/>
      <w:szCs w:val="20"/>
    </w:rPr>
  </w:style>
  <w:style w:type="character" w:customStyle="1" w:styleId="TextonotapieCar">
    <w:name w:val="Texto nota pie Car"/>
    <w:aliases w:val="Car Car Car"/>
    <w:basedOn w:val="Fuentedeprrafopredeter"/>
    <w:link w:val="Textonotapie"/>
    <w:uiPriority w:val="99"/>
    <w:rsid w:val="0081639E"/>
    <w:rPr>
      <w:b/>
      <w:bCs/>
      <w:sz w:val="20"/>
      <w:szCs w:val="20"/>
    </w:rPr>
  </w:style>
  <w:style w:type="character" w:styleId="Refdenotaalpie">
    <w:name w:val="footnote reference"/>
    <w:basedOn w:val="Fuentedeprrafopredeter"/>
    <w:uiPriority w:val="99"/>
    <w:unhideWhenUsed/>
    <w:rsid w:val="0081639E"/>
    <w:rPr>
      <w:vertAlign w:val="superscript"/>
    </w:rPr>
  </w:style>
  <w:style w:type="paragraph" w:styleId="Textodeglobo">
    <w:name w:val="Balloon Text"/>
    <w:basedOn w:val="Normal"/>
    <w:link w:val="TextodegloboCar"/>
    <w:uiPriority w:val="99"/>
    <w:semiHidden/>
    <w:unhideWhenUsed/>
    <w:rsid w:val="00816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39E"/>
    <w:rPr>
      <w:rFonts w:ascii="Tahoma" w:hAnsi="Tahoma" w:cs="Tahoma"/>
      <w:sz w:val="16"/>
      <w:szCs w:val="16"/>
    </w:rPr>
  </w:style>
  <w:style w:type="character" w:styleId="Refdecomentario">
    <w:name w:val="annotation reference"/>
    <w:basedOn w:val="Fuentedeprrafopredeter"/>
    <w:uiPriority w:val="99"/>
    <w:semiHidden/>
    <w:unhideWhenUsed/>
    <w:rsid w:val="00A451AB"/>
    <w:rPr>
      <w:sz w:val="16"/>
      <w:szCs w:val="16"/>
    </w:rPr>
  </w:style>
  <w:style w:type="paragraph" w:styleId="Textocomentario">
    <w:name w:val="annotation text"/>
    <w:basedOn w:val="Normal"/>
    <w:link w:val="TextocomentarioCar"/>
    <w:uiPriority w:val="99"/>
    <w:semiHidden/>
    <w:unhideWhenUsed/>
    <w:rsid w:val="00A451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1AB"/>
    <w:rPr>
      <w:rFonts w:ascii="Garamond" w:hAnsi="Garamond"/>
      <w:sz w:val="20"/>
      <w:szCs w:val="20"/>
    </w:rPr>
  </w:style>
  <w:style w:type="paragraph" w:styleId="Asuntodelcomentario">
    <w:name w:val="annotation subject"/>
    <w:basedOn w:val="Textocomentario"/>
    <w:next w:val="Textocomentario"/>
    <w:link w:val="AsuntodelcomentarioCar"/>
    <w:uiPriority w:val="99"/>
    <w:semiHidden/>
    <w:unhideWhenUsed/>
    <w:rsid w:val="00A451AB"/>
    <w:rPr>
      <w:b/>
      <w:bCs/>
    </w:rPr>
  </w:style>
  <w:style w:type="character" w:customStyle="1" w:styleId="AsuntodelcomentarioCar">
    <w:name w:val="Asunto del comentario Car"/>
    <w:basedOn w:val="TextocomentarioCar"/>
    <w:link w:val="Asuntodelcomentario"/>
    <w:uiPriority w:val="99"/>
    <w:semiHidden/>
    <w:rsid w:val="00A451AB"/>
    <w:rPr>
      <w:rFonts w:ascii="Garamond" w:hAnsi="Garamond"/>
      <w:b/>
      <w:bCs/>
      <w:sz w:val="20"/>
      <w:szCs w:val="20"/>
    </w:rPr>
  </w:style>
  <w:style w:type="character" w:customStyle="1" w:styleId="Ttulo3Car">
    <w:name w:val="Título 3 Car"/>
    <w:basedOn w:val="Fuentedeprrafopredeter"/>
    <w:link w:val="Ttulo3"/>
    <w:uiPriority w:val="9"/>
    <w:semiHidden/>
    <w:rsid w:val="006F27F3"/>
    <w:rPr>
      <w:rFonts w:asciiTheme="majorHAnsi" w:eastAsiaTheme="majorEastAsia" w:hAnsiTheme="majorHAnsi" w:cstheme="majorBidi"/>
      <w:b/>
      <w:bCs/>
      <w:color w:val="4F81BD" w:themeColor="accent1"/>
      <w:sz w:val="24"/>
      <w:szCs w:val="18"/>
    </w:rPr>
  </w:style>
  <w:style w:type="character" w:customStyle="1" w:styleId="hps">
    <w:name w:val="hps"/>
    <w:rsid w:val="006F27F3"/>
  </w:style>
  <w:style w:type="table" w:customStyle="1" w:styleId="Cuadrculadetablaclara1">
    <w:name w:val="Cuadrícula de tabla clara1"/>
    <w:basedOn w:val="Tablanormal"/>
    <w:uiPriority w:val="40"/>
    <w:rsid w:val="00C41769"/>
    <w:pPr>
      <w:spacing w:after="0" w:line="240" w:lineRule="auto"/>
    </w:pPr>
    <w:rPr>
      <w:rFonts w:ascii="Garamond" w:hAnsi="Garamond"/>
      <w:sz w:val="2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basedOn w:val="Fuentedeprrafopredeter"/>
    <w:rsid w:val="00C41769"/>
  </w:style>
  <w:style w:type="character" w:styleId="Hipervnculo">
    <w:name w:val="Hyperlink"/>
    <w:basedOn w:val="Fuentedeprrafopredeter"/>
    <w:uiPriority w:val="99"/>
    <w:unhideWhenUsed/>
    <w:rsid w:val="002540AE"/>
    <w:rPr>
      <w:color w:val="0000FF" w:themeColor="hyperlink"/>
      <w:u w:val="single"/>
    </w:rPr>
  </w:style>
  <w:style w:type="paragraph" w:styleId="NormalWeb">
    <w:name w:val="Normal (Web)"/>
    <w:basedOn w:val="Normal"/>
    <w:uiPriority w:val="99"/>
    <w:semiHidden/>
    <w:unhideWhenUsed/>
    <w:rsid w:val="00B4238E"/>
    <w:pPr>
      <w:spacing w:before="100" w:beforeAutospacing="1" w:after="100" w:afterAutospacing="1" w:line="240" w:lineRule="auto"/>
      <w:jc w:val="left"/>
    </w:pPr>
    <w:rPr>
      <w:rFonts w:ascii="Times New Roman" w:eastAsia="Times New Roman" w:hAnsi="Times New Roman" w:cs="Times New Roman"/>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7292">
      <w:bodyDiv w:val="1"/>
      <w:marLeft w:val="0"/>
      <w:marRight w:val="0"/>
      <w:marTop w:val="0"/>
      <w:marBottom w:val="0"/>
      <w:divBdr>
        <w:top w:val="none" w:sz="0" w:space="0" w:color="auto"/>
        <w:left w:val="none" w:sz="0" w:space="0" w:color="auto"/>
        <w:bottom w:val="none" w:sz="0" w:space="0" w:color="auto"/>
        <w:right w:val="none" w:sz="0" w:space="0" w:color="auto"/>
      </w:divBdr>
    </w:div>
    <w:div w:id="1142693002">
      <w:bodyDiv w:val="1"/>
      <w:marLeft w:val="0"/>
      <w:marRight w:val="0"/>
      <w:marTop w:val="0"/>
      <w:marBottom w:val="0"/>
      <w:divBdr>
        <w:top w:val="none" w:sz="0" w:space="0" w:color="auto"/>
        <w:left w:val="none" w:sz="0" w:space="0" w:color="auto"/>
        <w:bottom w:val="none" w:sz="0" w:space="0" w:color="auto"/>
        <w:right w:val="none" w:sz="0" w:space="0" w:color="auto"/>
      </w:divBdr>
    </w:div>
    <w:div w:id="1348360568">
      <w:bodyDiv w:val="1"/>
      <w:marLeft w:val="0"/>
      <w:marRight w:val="0"/>
      <w:marTop w:val="0"/>
      <w:marBottom w:val="0"/>
      <w:divBdr>
        <w:top w:val="none" w:sz="0" w:space="0" w:color="auto"/>
        <w:left w:val="none" w:sz="0" w:space="0" w:color="auto"/>
        <w:bottom w:val="none" w:sz="0" w:space="0" w:color="auto"/>
        <w:right w:val="none" w:sz="0" w:space="0" w:color="auto"/>
      </w:divBdr>
    </w:div>
    <w:div w:id="1657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org.a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7B67-AF48-4C16-92E8-02FA920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7417</Words>
  <Characters>40795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gyoguel</dc:creator>
  <cp:lastModifiedBy>florencia Barletta</cp:lastModifiedBy>
  <cp:revision>5</cp:revision>
  <cp:lastPrinted>2014-05-07T03:26:00Z</cp:lastPrinted>
  <dcterms:created xsi:type="dcterms:W3CDTF">2014-11-14T17:53:00Z</dcterms:created>
  <dcterms:modified xsi:type="dcterms:W3CDTF">2014-11-14T20:54:00Z</dcterms:modified>
</cp:coreProperties>
</file>